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ind w:right="0"/>
        <w:jc w:val="center"/>
        <w:textAlignment w:val="auto"/>
        <w:rPr>
          <w:rFonts w:hint="default" w:ascii="Times New Roman" w:hAnsi="Times New Roman" w:eastAsia="仿宋_GB2312" w:cs="Times New Roman"/>
          <w:color w:val="auto"/>
          <w:sz w:val="36"/>
          <w:szCs w:val="36"/>
        </w:rPr>
      </w:pPr>
    </w:p>
    <w:p>
      <w:pPr>
        <w:keepNext w:val="0"/>
        <w:keepLines w:val="0"/>
        <w:pageBreakBefore w:val="0"/>
        <w:kinsoku/>
        <w:wordWrap/>
        <w:overflowPunct/>
        <w:topLinePunct w:val="0"/>
        <w:autoSpaceDE/>
        <w:autoSpaceDN/>
        <w:bidi w:val="0"/>
        <w:ind w:right="0"/>
        <w:jc w:val="center"/>
        <w:textAlignment w:val="auto"/>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val="0"/>
        <w:snapToGrid w:val="0"/>
        <w:ind w:right="0"/>
        <w:jc w:val="center"/>
        <w:textAlignment w:val="auto"/>
        <w:outlineLvl w:val="9"/>
        <w:rPr>
          <w:rFonts w:hint="default" w:ascii="Times New Roman" w:hAnsi="Times New Roman" w:eastAsia="方正小标宋_GBK" w:cs="Times New Roman"/>
          <w:bCs/>
          <w:color w:val="auto"/>
          <w:sz w:val="72"/>
          <w:szCs w:val="72"/>
        </w:rPr>
      </w:pPr>
      <w:bookmarkStart w:id="0" w:name="_Toc6185"/>
      <w:bookmarkStart w:id="1" w:name="_Toc7541"/>
      <w:bookmarkStart w:id="2" w:name="_Toc17908"/>
      <w:bookmarkStart w:id="3" w:name="_Toc28227"/>
      <w:bookmarkStart w:id="4" w:name="_Toc15118"/>
      <w:bookmarkStart w:id="5" w:name="_Toc30647"/>
      <w:bookmarkStart w:id="6" w:name="_Toc17827"/>
      <w:bookmarkStart w:id="7" w:name="_Toc7084"/>
      <w:bookmarkStart w:id="8" w:name="_Toc6385"/>
      <w:bookmarkStart w:id="9" w:name="_Toc21248"/>
      <w:bookmarkStart w:id="10" w:name="_Toc24149"/>
      <w:bookmarkStart w:id="11" w:name="_Toc31224"/>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p>
    <w:p>
      <w:pPr>
        <w:keepNext w:val="0"/>
        <w:keepLines w:val="0"/>
        <w:pageBreakBefore w:val="0"/>
        <w:kinsoku/>
        <w:wordWrap/>
        <w:overflowPunct/>
        <w:topLinePunct w:val="0"/>
        <w:autoSpaceDE/>
        <w:autoSpaceDN/>
        <w:bidi w:val="0"/>
        <w:adjustRightInd w:val="0"/>
        <w:snapToGrid w:val="0"/>
        <w:spacing w:before="192" w:beforeLines="80"/>
        <w:ind w:right="0"/>
        <w:jc w:val="center"/>
        <w:textAlignment w:val="auto"/>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jc w:val="center"/>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jc w:val="center"/>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jc w:val="center"/>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jc w:val="center"/>
        <w:textAlignment w:val="auto"/>
        <w:rPr>
          <w:rFonts w:hint="default" w:ascii="Times New Roman" w:hAnsi="Times New Roman" w:cs="Times New Roman"/>
          <w:color w:val="auto"/>
        </w:rPr>
      </w:pPr>
    </w:p>
    <w:p>
      <w:pPr>
        <w:pStyle w:val="32"/>
        <w:keepNext w:val="0"/>
        <w:keepLines w:val="0"/>
        <w:pageBreakBefore w:val="0"/>
        <w:kinsoku/>
        <w:wordWrap/>
        <w:overflowPunct/>
        <w:topLinePunct w:val="0"/>
        <w:autoSpaceDE/>
        <w:autoSpaceDN/>
        <w:bidi w:val="0"/>
        <w:ind w:left="0" w:leftChars="0" w:right="0"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right="0"/>
        <w:jc w:val="center"/>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lang w:val="en-US" w:eastAsia="zh-CN"/>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lang w:val="en-US" w:eastAsia="zh-CN"/>
        </w:rPr>
        <w:t xml:space="preserve"> 钢渣综合利用技改项目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rPr>
        <w:t>福安市青拓环保建材有限公司</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36"/>
          <w:szCs w:val="36"/>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202</w:t>
      </w:r>
      <w:r>
        <w:rPr>
          <w:rFonts w:hint="default" w:ascii="Times New Roman" w:hAnsi="Times New Roman" w:eastAsia="仿宋_GB2312" w:cs="Times New Roman"/>
          <w:color w:val="auto"/>
          <w:sz w:val="36"/>
          <w:szCs w:val="36"/>
          <w:u w:val="single"/>
          <w:lang w:val="en-US" w:eastAsia="zh-CN"/>
        </w:rPr>
        <w:t>3</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8</w:t>
      </w:r>
      <w:r>
        <w:rPr>
          <w:rFonts w:hint="default" w:ascii="Times New Roman" w:hAnsi="Times New Roman" w:eastAsia="仿宋_GB2312" w:cs="Times New Roman"/>
          <w:color w:val="auto"/>
          <w:sz w:val="36"/>
          <w:szCs w:val="36"/>
          <w:u w:val="single"/>
        </w:rPr>
        <w:t>月</w:t>
      </w:r>
      <w:r>
        <w:rPr>
          <w:rFonts w:hint="eastAsia" w:eastAsia="仿宋_GB2312" w:cs="Times New Roman"/>
          <w:color w:val="auto"/>
          <w:sz w:val="36"/>
          <w:szCs w:val="36"/>
          <w:u w:val="single"/>
          <w:lang w:val="en-US" w:eastAsia="zh-CN"/>
        </w:rPr>
        <w:t>21</w:t>
      </w:r>
      <w:r>
        <w:rPr>
          <w:rFonts w:hint="default" w:ascii="Times New Roman" w:hAnsi="Times New Roman" w:eastAsia="仿宋_GB2312" w:cs="Times New Roman"/>
          <w:color w:val="auto"/>
          <w:sz w:val="36"/>
          <w:szCs w:val="36"/>
          <w:u w:val="single"/>
        </w:rPr>
        <w:t xml:space="preserve">日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right="0"/>
        <w:jc w:val="center"/>
        <w:textAlignment w:val="auto"/>
        <w:rPr>
          <w:rFonts w:hint="default" w:ascii="Times New Roman" w:hAnsi="Times New Roman" w:cs="Times New Roman"/>
          <w:color w:val="auto"/>
        </w:rPr>
      </w:pPr>
      <w:bookmarkStart w:id="12" w:name="_Hlk57884087"/>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right="0"/>
        <w:jc w:val="center"/>
        <w:textAlignment w:val="auto"/>
        <w:rPr>
          <w:rFonts w:hint="default" w:ascii="Times New Roman" w:hAnsi="Times New Roman" w:cs="Times New Roman"/>
          <w:color w:val="auto"/>
        </w:rPr>
      </w:pPr>
    </w:p>
    <w:p>
      <w:pPr>
        <w:pStyle w:val="32"/>
        <w:keepNext w:val="0"/>
        <w:keepLines w:val="0"/>
        <w:pageBreakBefore w:val="0"/>
        <w:kinsoku/>
        <w:wordWrap/>
        <w:overflowPunct/>
        <w:topLinePunct w:val="0"/>
        <w:autoSpaceDE/>
        <w:autoSpaceDN/>
        <w:bidi w:val="0"/>
        <w:adjustRightInd w:val="0"/>
        <w:ind w:left="0" w:leftChars="0" w:right="0" w:firstLine="0" w:firstLineChars="0"/>
        <w:jc w:val="center"/>
        <w:textAlignment w:val="auto"/>
        <w:rPr>
          <w:rFonts w:hint="default" w:ascii="Times New Roman" w:hAnsi="Times New Roman" w:cs="Times New Roman"/>
        </w:rPr>
      </w:pPr>
    </w:p>
    <w:p>
      <w:pPr>
        <w:pStyle w:val="32"/>
        <w:keepNext w:val="0"/>
        <w:keepLines w:val="0"/>
        <w:pageBreakBefore w:val="0"/>
        <w:kinsoku/>
        <w:wordWrap/>
        <w:overflowPunct/>
        <w:topLinePunct w:val="0"/>
        <w:autoSpaceDE/>
        <w:autoSpaceDN/>
        <w:bidi w:val="0"/>
        <w:adjustRightInd w:val="0"/>
        <w:ind w:left="0" w:leftChars="0" w:right="0" w:firstLine="0" w:firstLineChars="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right="0"/>
        <w:jc w:val="center"/>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val="0"/>
        <w:snapToGrid/>
        <w:spacing w:before="157" w:beforeLines="50" w:after="157" w:afterLines="50" w:line="360" w:lineRule="auto"/>
        <w:ind w:right="0"/>
        <w:jc w:val="center"/>
        <w:textAlignment w:val="auto"/>
        <w:rPr>
          <w:rFonts w:hint="default" w:ascii="Times New Roman" w:hAnsi="Times New Roman" w:cs="Times New Roman"/>
          <w:color w:val="auto"/>
        </w:rPr>
      </w:pPr>
    </w:p>
    <w:bookmarkEnd w:id="12"/>
    <w:p>
      <w:pPr>
        <w:keepNext w:val="0"/>
        <w:keepLines w:val="0"/>
        <w:pageBreakBefore w:val="0"/>
        <w:kinsoku/>
        <w:wordWrap/>
        <w:overflowPunct/>
        <w:topLinePunct w:val="0"/>
        <w:autoSpaceDE/>
        <w:autoSpaceDN/>
        <w:bidi w:val="0"/>
        <w:adjustRightInd w:val="0"/>
        <w:snapToGrid w:val="0"/>
        <w:spacing w:line="288" w:lineRule="auto"/>
        <w:ind w:right="0"/>
        <w:jc w:val="center"/>
        <w:textAlignment w:val="auto"/>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bidi w:val="0"/>
        <w:rPr>
          <w:rFonts w:hint="default" w:ascii="Times New Roman" w:hAnsi="Times New Roman" w:cs="Times New Roman"/>
          <w:color w:val="auto"/>
        </w:rPr>
      </w:pPr>
    </w:p>
    <w:p>
      <w:pPr>
        <w:adjustRightInd w:val="0"/>
        <w:snapToGrid w:val="0"/>
        <w:spacing w:line="288" w:lineRule="auto"/>
        <w:rPr>
          <w:rFonts w:hint="default" w:ascii="Times New Roman" w:hAnsi="Times New Roman" w:eastAsia="仿宋_GB2312" w:cs="Times New Roman"/>
          <w:color w:val="auto"/>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  录</w:t>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color w:val="auto"/>
          <w:sz w:val="24"/>
          <w:szCs w:val="24"/>
          <w:highlight w:val="yellow"/>
        </w:rPr>
        <w:instrText xml:space="preserve">TOC \o "1-2" \h \u </w:instrText>
      </w:r>
      <w:r>
        <w:rPr>
          <w:rFonts w:hint="default" w:ascii="Times New Roman" w:hAnsi="Times New Roman" w:eastAsia="宋体" w:cs="Times New Roman"/>
          <w:color w:val="auto"/>
          <w:sz w:val="24"/>
          <w:szCs w:val="24"/>
          <w:highlight w:val="yellow"/>
        </w:rPr>
        <w:fldChar w:fldCharType="separate"/>
      </w:r>
      <w:r>
        <w:rPr>
          <w:rFonts w:hint="default" w:ascii="Times New Roman" w:hAnsi="Times New Roman" w:eastAsia="宋体" w:cs="Times New Roman"/>
          <w:b/>
          <w:bCs/>
          <w:color w:val="auto"/>
          <w:sz w:val="24"/>
          <w:szCs w:val="24"/>
          <w:highlight w:val="yellow"/>
        </w:rPr>
        <w:fldChar w:fldCharType="begin"/>
      </w:r>
      <w:r>
        <w:rPr>
          <w:rFonts w:hint="default" w:ascii="Times New Roman" w:hAnsi="Times New Roman" w:eastAsia="宋体" w:cs="Times New Roman"/>
          <w:b/>
          <w:bCs/>
          <w:sz w:val="24"/>
          <w:szCs w:val="24"/>
          <w:highlight w:val="yellow"/>
        </w:rPr>
        <w:instrText xml:space="preserve"> HYPERLINK \l _Toc27340 </w:instrText>
      </w:r>
      <w:r>
        <w:rPr>
          <w:rFonts w:hint="default" w:ascii="Times New Roman" w:hAnsi="Times New Roman" w:eastAsia="宋体" w:cs="Times New Roman"/>
          <w:b/>
          <w:bCs/>
          <w:sz w:val="24"/>
          <w:szCs w:val="24"/>
          <w:highlight w:val="yellow"/>
        </w:rPr>
        <w:fldChar w:fldCharType="separate"/>
      </w:r>
      <w:r>
        <w:rPr>
          <w:rFonts w:hint="default" w:ascii="Times New Roman" w:hAnsi="Times New Roman" w:eastAsia="宋体" w:cs="Times New Roman"/>
          <w:b/>
          <w:bCs/>
          <w:snapToGrid w:val="0"/>
          <w:sz w:val="24"/>
          <w:szCs w:val="24"/>
          <w:highlight w:val="none"/>
          <w:lang w:val="en-US" w:eastAsia="zh-CN"/>
        </w:rPr>
        <w:t>0  项目由来</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_Toc27340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highlight w:val="yellow"/>
        </w:rPr>
        <w:fldChar w:fldCharType="begin"/>
      </w:r>
      <w:r>
        <w:rPr>
          <w:rFonts w:hint="default" w:ascii="Times New Roman" w:hAnsi="Times New Roman" w:eastAsia="宋体" w:cs="Times New Roman"/>
          <w:b/>
          <w:bCs/>
          <w:sz w:val="24"/>
          <w:szCs w:val="24"/>
          <w:highlight w:val="yellow"/>
        </w:rPr>
        <w:instrText xml:space="preserve"> HYPERLINK \l _Toc1741 </w:instrText>
      </w:r>
      <w:r>
        <w:rPr>
          <w:rFonts w:hint="default" w:ascii="Times New Roman" w:hAnsi="Times New Roman" w:eastAsia="宋体" w:cs="Times New Roman"/>
          <w:b/>
          <w:bCs/>
          <w:sz w:val="24"/>
          <w:szCs w:val="24"/>
          <w:highlight w:val="yellow"/>
        </w:rPr>
        <w:fldChar w:fldCharType="separate"/>
      </w:r>
      <w:r>
        <w:rPr>
          <w:rFonts w:hint="default" w:ascii="Times New Roman" w:hAnsi="Times New Roman" w:eastAsia="宋体" w:cs="Times New Roman"/>
          <w:b/>
          <w:bCs/>
          <w:snapToGrid w:val="0"/>
          <w:kern w:val="0"/>
          <w:sz w:val="24"/>
          <w:szCs w:val="24"/>
          <w:highlight w:val="none"/>
          <w:lang w:val="en-US" w:eastAsia="zh-CN"/>
        </w:rPr>
        <w:t>一、建设项目基本情况</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_Toc1741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highlight w:val="yellow"/>
        </w:rPr>
        <w:fldChar w:fldCharType="begin"/>
      </w:r>
      <w:r>
        <w:rPr>
          <w:rFonts w:hint="default" w:ascii="Times New Roman" w:hAnsi="Times New Roman" w:eastAsia="宋体" w:cs="Times New Roman"/>
          <w:b/>
          <w:bCs/>
          <w:sz w:val="24"/>
          <w:szCs w:val="24"/>
          <w:highlight w:val="yellow"/>
        </w:rPr>
        <w:instrText xml:space="preserve"> HYPERLINK \l _Toc30827 </w:instrText>
      </w:r>
      <w:r>
        <w:rPr>
          <w:rFonts w:hint="default" w:ascii="Times New Roman" w:hAnsi="Times New Roman" w:eastAsia="宋体" w:cs="Times New Roman"/>
          <w:b/>
          <w:bCs/>
          <w:sz w:val="24"/>
          <w:szCs w:val="24"/>
          <w:highlight w:val="yellow"/>
        </w:rPr>
        <w:fldChar w:fldCharType="separate"/>
      </w:r>
      <w:r>
        <w:rPr>
          <w:rFonts w:hint="default" w:ascii="Times New Roman" w:hAnsi="Times New Roman" w:eastAsia="宋体" w:cs="Times New Roman"/>
          <w:b/>
          <w:bCs/>
          <w:snapToGrid w:val="0"/>
          <w:sz w:val="24"/>
          <w:szCs w:val="24"/>
          <w:highlight w:val="none"/>
          <w:shd w:val="clear" w:color="auto" w:fill="FFFFFF"/>
          <w:lang w:val="en-US" w:eastAsia="zh-CN"/>
        </w:rPr>
        <w:t>二、建设项目工程分析</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_Toc30827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10</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highlight w:val="yellow"/>
        </w:rPr>
        <w:fldChar w:fldCharType="begin"/>
      </w:r>
      <w:r>
        <w:rPr>
          <w:rFonts w:hint="default" w:ascii="Times New Roman" w:hAnsi="Times New Roman" w:eastAsia="宋体" w:cs="Times New Roman"/>
          <w:b/>
          <w:bCs/>
          <w:sz w:val="24"/>
          <w:szCs w:val="24"/>
          <w:highlight w:val="yellow"/>
        </w:rPr>
        <w:instrText xml:space="preserve"> HYPERLINK \l _Toc28660 </w:instrText>
      </w:r>
      <w:r>
        <w:rPr>
          <w:rFonts w:hint="default" w:ascii="Times New Roman" w:hAnsi="Times New Roman" w:eastAsia="宋体" w:cs="Times New Roman"/>
          <w:b/>
          <w:bCs/>
          <w:sz w:val="24"/>
          <w:szCs w:val="24"/>
          <w:highlight w:val="yellow"/>
        </w:rPr>
        <w:fldChar w:fldCharType="separate"/>
      </w:r>
      <w:r>
        <w:rPr>
          <w:rFonts w:hint="default" w:ascii="Times New Roman" w:hAnsi="Times New Roman" w:eastAsia="宋体" w:cs="Times New Roman"/>
          <w:b/>
          <w:bCs/>
          <w:snapToGrid w:val="0"/>
          <w:kern w:val="0"/>
          <w:sz w:val="24"/>
          <w:szCs w:val="24"/>
          <w:highlight w:val="none"/>
          <w:lang w:val="en-US" w:eastAsia="zh-CN"/>
        </w:rPr>
        <w:t>三、区域环境质量现状、环境保护目标及评价标准</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_Toc28660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17</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highlight w:val="yellow"/>
        </w:rPr>
        <w:fldChar w:fldCharType="begin"/>
      </w:r>
      <w:r>
        <w:rPr>
          <w:rFonts w:hint="default" w:ascii="Times New Roman" w:hAnsi="Times New Roman" w:eastAsia="宋体" w:cs="Times New Roman"/>
          <w:b/>
          <w:bCs/>
          <w:sz w:val="24"/>
          <w:szCs w:val="24"/>
          <w:highlight w:val="yellow"/>
        </w:rPr>
        <w:instrText xml:space="preserve"> HYPERLINK \l _Toc23507 </w:instrText>
      </w:r>
      <w:r>
        <w:rPr>
          <w:rFonts w:hint="default" w:ascii="Times New Roman" w:hAnsi="Times New Roman" w:eastAsia="宋体" w:cs="Times New Roman"/>
          <w:b/>
          <w:bCs/>
          <w:sz w:val="24"/>
          <w:szCs w:val="24"/>
          <w:highlight w:val="yellow"/>
        </w:rPr>
        <w:fldChar w:fldCharType="separate"/>
      </w:r>
      <w:r>
        <w:rPr>
          <w:rFonts w:hint="default" w:ascii="Times New Roman" w:hAnsi="Times New Roman" w:eastAsia="宋体" w:cs="Times New Roman"/>
          <w:b/>
          <w:bCs/>
          <w:snapToGrid w:val="0"/>
          <w:kern w:val="0"/>
          <w:sz w:val="24"/>
          <w:szCs w:val="24"/>
          <w:highlight w:val="none"/>
          <w:lang w:val="en-US" w:eastAsia="zh-CN" w:bidi="ar-SA"/>
        </w:rPr>
        <w:t>四、主要环境影响和保护措施</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_Toc23507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37</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highlight w:val="yellow"/>
        </w:rPr>
        <w:fldChar w:fldCharType="begin"/>
      </w:r>
      <w:r>
        <w:rPr>
          <w:rFonts w:hint="default" w:ascii="Times New Roman" w:hAnsi="Times New Roman" w:eastAsia="宋体" w:cs="Times New Roman"/>
          <w:b/>
          <w:bCs/>
          <w:sz w:val="24"/>
          <w:szCs w:val="24"/>
          <w:highlight w:val="yellow"/>
        </w:rPr>
        <w:instrText xml:space="preserve"> HYPERLINK \l _Toc31883 </w:instrText>
      </w:r>
      <w:r>
        <w:rPr>
          <w:rFonts w:hint="default" w:ascii="Times New Roman" w:hAnsi="Times New Roman" w:eastAsia="宋体" w:cs="Times New Roman"/>
          <w:b/>
          <w:bCs/>
          <w:sz w:val="24"/>
          <w:szCs w:val="24"/>
          <w:highlight w:val="yellow"/>
        </w:rPr>
        <w:fldChar w:fldCharType="separate"/>
      </w:r>
      <w:r>
        <w:rPr>
          <w:rFonts w:hint="default" w:ascii="Times New Roman" w:hAnsi="Times New Roman" w:eastAsia="宋体" w:cs="Times New Roman"/>
          <w:b/>
          <w:bCs/>
          <w:snapToGrid w:val="0"/>
          <w:kern w:val="0"/>
          <w:sz w:val="24"/>
          <w:szCs w:val="24"/>
          <w:highlight w:val="none"/>
          <w:lang w:val="en-US" w:eastAsia="zh-CN"/>
        </w:rPr>
        <w:t>五、环境保护措施监督检查清单</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_Toc31883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52</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color w:val="auto"/>
          <w:sz w:val="24"/>
          <w:szCs w:val="24"/>
          <w:highlight w:val="yellow"/>
        </w:rPr>
        <w:fldChar w:fldCharType="begin"/>
      </w:r>
      <w:r>
        <w:rPr>
          <w:rFonts w:hint="default" w:ascii="Times New Roman" w:hAnsi="Times New Roman" w:eastAsia="宋体" w:cs="Times New Roman"/>
          <w:b/>
          <w:bCs/>
          <w:sz w:val="24"/>
          <w:szCs w:val="24"/>
          <w:highlight w:val="yellow"/>
        </w:rPr>
        <w:instrText xml:space="preserve"> HYPERLINK \l _Toc14351 </w:instrText>
      </w:r>
      <w:r>
        <w:rPr>
          <w:rFonts w:hint="default" w:ascii="Times New Roman" w:hAnsi="Times New Roman" w:eastAsia="宋体" w:cs="Times New Roman"/>
          <w:b/>
          <w:bCs/>
          <w:sz w:val="24"/>
          <w:szCs w:val="24"/>
          <w:highlight w:val="yellow"/>
        </w:rPr>
        <w:fldChar w:fldCharType="separate"/>
      </w:r>
      <w:r>
        <w:rPr>
          <w:rFonts w:hint="default" w:ascii="Times New Roman" w:hAnsi="Times New Roman" w:eastAsia="宋体" w:cs="Times New Roman"/>
          <w:b/>
          <w:bCs/>
          <w:snapToGrid w:val="0"/>
          <w:kern w:val="0"/>
          <w:sz w:val="24"/>
          <w:szCs w:val="24"/>
          <w:highlight w:val="none"/>
          <w:lang w:val="en-US" w:eastAsia="zh-CN"/>
        </w:rPr>
        <w:t>六、结论</w:t>
      </w:r>
      <w:r>
        <w:rPr>
          <w:rFonts w:hint="default" w:ascii="Times New Roman" w:hAnsi="Times New Roman" w:eastAsia="宋体" w:cs="Times New Roman"/>
          <w:b/>
          <w:bCs/>
          <w:sz w:val="24"/>
          <w:szCs w:val="24"/>
        </w:rPr>
        <w:tab/>
      </w:r>
      <w:r>
        <w:rPr>
          <w:rFonts w:hint="default" w:ascii="Times New Roman" w:hAnsi="Times New Roman" w:eastAsia="宋体" w:cs="Times New Roman"/>
          <w:b/>
          <w:bCs/>
          <w:sz w:val="24"/>
          <w:szCs w:val="24"/>
        </w:rPr>
        <w:fldChar w:fldCharType="begin"/>
      </w:r>
      <w:r>
        <w:rPr>
          <w:rFonts w:hint="default" w:ascii="Times New Roman" w:hAnsi="Times New Roman" w:eastAsia="宋体" w:cs="Times New Roman"/>
          <w:b/>
          <w:bCs/>
          <w:sz w:val="24"/>
          <w:szCs w:val="24"/>
        </w:rPr>
        <w:instrText xml:space="preserve"> PAGEREF _Toc14351 \h </w:instrText>
      </w:r>
      <w:r>
        <w:rPr>
          <w:rFonts w:hint="default" w:ascii="Times New Roman" w:hAnsi="Times New Roman" w:eastAsia="宋体" w:cs="Times New Roman"/>
          <w:b/>
          <w:bCs/>
          <w:sz w:val="24"/>
          <w:szCs w:val="24"/>
        </w:rPr>
        <w:fldChar w:fldCharType="separate"/>
      </w:r>
      <w:r>
        <w:rPr>
          <w:rFonts w:hint="default" w:ascii="Times New Roman" w:hAnsi="Times New Roman" w:eastAsia="宋体" w:cs="Times New Roman"/>
          <w:b/>
          <w:bCs/>
          <w:sz w:val="24"/>
          <w:szCs w:val="24"/>
        </w:rPr>
        <w:t>56</w:t>
      </w:r>
      <w:r>
        <w:rPr>
          <w:rFonts w:hint="default" w:ascii="Times New Roman" w:hAnsi="Times New Roman" w:eastAsia="宋体" w:cs="Times New Roman"/>
          <w:b/>
          <w:bCs/>
          <w:sz w:val="24"/>
          <w:szCs w:val="24"/>
        </w:rPr>
        <w:fldChar w:fldCharType="end"/>
      </w:r>
      <w:r>
        <w:rPr>
          <w:rFonts w:hint="default" w:ascii="Times New Roman" w:hAnsi="Times New Roman" w:eastAsia="宋体" w:cs="Times New Roman"/>
          <w:b/>
          <w:bCs/>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_Toc16984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 xml:space="preserve">附表 </w:t>
      </w:r>
      <w:r>
        <w:rPr>
          <w:rFonts w:hint="default" w:ascii="Times New Roman" w:hAnsi="Times New Roman" w:eastAsia="宋体" w:cs="Times New Roman"/>
          <w:color w:val="auto"/>
          <w:sz w:val="24"/>
          <w:szCs w:val="24"/>
          <w:highlight w:val="yellow"/>
        </w:rPr>
        <w:fldChar w:fldCharType="end"/>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_Toc17647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_Toc25083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附件一  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_Toc25083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_Toc31137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附件二  备案证明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_Toc4268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附件三  编制情况承诺书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_Toc4268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_Toc9927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附件四  营业执照及法人身份证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_Toc13103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附件五  建设用地使用权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_Toc25831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附件六  公司现有工程环评批复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_Toc25831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_Toc9945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附件七  现有工程竣工环境保护验收意见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_Toc9945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_Toc22261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附件八  2023年3月自行监测报告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_Toc6778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附件九  接收废水排放的函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_Toc29516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附件十  危废处置协议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_Toc29516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_Toc25065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附件十一  排污许可证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_Toc25065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_Toc16714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附件十二  现有工程应急预案备案表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_Toc16714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_Toc7727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附件十四  噪声监测报告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pStyle w:val="11"/>
        <w:keepNext w:val="0"/>
        <w:keepLines w:val="0"/>
        <w:pageBreakBefore w:val="0"/>
        <w:widowControl w:val="0"/>
        <w:tabs>
          <w:tab w:val="right" w:leader="dot" w:pos="9072"/>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yellow"/>
        </w:rPr>
        <w:fldChar w:fldCharType="begin"/>
      </w:r>
      <w:r>
        <w:rPr>
          <w:rFonts w:hint="default" w:ascii="Times New Roman" w:hAnsi="Times New Roman" w:eastAsia="宋体" w:cs="Times New Roman"/>
          <w:sz w:val="24"/>
          <w:szCs w:val="24"/>
          <w:highlight w:val="yellow"/>
        </w:rPr>
        <w:instrText xml:space="preserve"> HYPERLINK \l _Toc24657 </w:instrText>
      </w:r>
      <w:r>
        <w:rPr>
          <w:rFonts w:hint="default" w:ascii="Times New Roman" w:hAnsi="Times New Roman" w:eastAsia="宋体" w:cs="Times New Roman"/>
          <w:sz w:val="24"/>
          <w:szCs w:val="24"/>
          <w:highlight w:val="yellow"/>
        </w:rPr>
        <w:fldChar w:fldCharType="separate"/>
      </w:r>
      <w:r>
        <w:rPr>
          <w:rFonts w:hint="default" w:ascii="Times New Roman" w:hAnsi="Times New Roman" w:eastAsia="宋体" w:cs="Times New Roman"/>
          <w:bCs/>
          <w:sz w:val="24"/>
          <w:szCs w:val="24"/>
          <w:highlight w:val="none"/>
          <w:lang w:val="en-US" w:eastAsia="zh-CN"/>
        </w:rPr>
        <w:t>附件十五  建设单位承诺书及委托书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_Toc24657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yellow"/>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jc w:val="both"/>
        <w:textAlignment w:val="auto"/>
        <w:rPr>
          <w:rFonts w:hint="default" w:ascii="Times New Roman" w:hAnsi="Times New Roman" w:eastAsia="宋体" w:cs="Times New Roman"/>
          <w:color w:val="auto"/>
          <w:sz w:val="21"/>
          <w:szCs w:val="21"/>
        </w:rPr>
        <w:sectPr>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color w:val="auto"/>
          <w:sz w:val="24"/>
          <w:szCs w:val="24"/>
          <w:highlight w:val="yellow"/>
        </w:rPr>
        <w:fldChar w:fldCharType="end"/>
      </w:r>
    </w:p>
    <w:p>
      <w:pPr>
        <w:pStyle w:val="29"/>
        <w:keepNext w:val="0"/>
        <w:keepLines w:val="0"/>
        <w:pageBreakBefore w:val="0"/>
        <w:widowControl/>
        <w:kinsoku/>
        <w:wordWrap/>
        <w:overflowPunct/>
        <w:topLinePunct w:val="0"/>
        <w:autoSpaceDE/>
        <w:autoSpaceDN/>
        <w:bidi w:val="0"/>
        <w:adjustRightInd w:val="0"/>
        <w:snapToGrid w:val="0"/>
        <w:spacing w:before="182" w:beforeLines="50" w:beforeAutospacing="0" w:after="362" w:afterLines="100" w:afterAutospacing="0"/>
        <w:jc w:val="both"/>
        <w:textAlignment w:val="auto"/>
        <w:outlineLvl w:val="0"/>
        <w:rPr>
          <w:rFonts w:hint="default" w:ascii="Times New Roman" w:hAnsi="Times New Roman" w:eastAsia="黑体" w:cs="Times New Roman"/>
          <w:snapToGrid w:val="0"/>
          <w:color w:val="auto"/>
          <w:sz w:val="30"/>
          <w:szCs w:val="30"/>
          <w:highlight w:val="none"/>
          <w:lang w:val="en-US" w:eastAsia="zh-CN"/>
        </w:rPr>
      </w:pPr>
      <w:bookmarkStart w:id="13" w:name="_Toc27340"/>
      <w:bookmarkStart w:id="14" w:name="_Toc31237"/>
      <w:bookmarkStart w:id="15" w:name="_Toc21857"/>
      <w:bookmarkStart w:id="16" w:name="_Toc9643"/>
      <w:r>
        <w:rPr>
          <w:rFonts w:hint="default" w:ascii="Times New Roman" w:hAnsi="Times New Roman" w:eastAsia="黑体" w:cs="Times New Roman"/>
          <w:snapToGrid w:val="0"/>
          <w:color w:val="auto"/>
          <w:sz w:val="30"/>
          <w:szCs w:val="30"/>
          <w:highlight w:val="none"/>
          <w:lang w:val="en-US" w:eastAsia="zh-CN"/>
        </w:rPr>
        <w:t>0</w:t>
      </w:r>
      <w:r>
        <w:rPr>
          <w:rFonts w:hint="eastAsia" w:ascii="Times New Roman" w:hAnsi="Times New Roman" w:eastAsia="黑体" w:cs="Times New Roman"/>
          <w:snapToGrid w:val="0"/>
          <w:color w:val="auto"/>
          <w:sz w:val="30"/>
          <w:szCs w:val="30"/>
          <w:highlight w:val="none"/>
          <w:lang w:val="en-US" w:eastAsia="zh-CN"/>
        </w:rPr>
        <w:t xml:space="preserve">  </w:t>
      </w:r>
      <w:r>
        <w:rPr>
          <w:rFonts w:hint="default" w:ascii="Times New Roman" w:hAnsi="Times New Roman" w:eastAsia="黑体" w:cs="Times New Roman"/>
          <w:snapToGrid w:val="0"/>
          <w:color w:val="auto"/>
          <w:sz w:val="30"/>
          <w:szCs w:val="30"/>
          <w:highlight w:val="none"/>
          <w:lang w:val="en-US" w:eastAsia="zh-CN"/>
        </w:rPr>
        <w:t>项目由来</w:t>
      </w:r>
      <w:bookmarkEnd w:id="13"/>
      <w:bookmarkEnd w:id="14"/>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青拓集团是青山钢铁系统三大集团之一，主要从事不锈钢生产、加工与经营销售，下辖福建鼎信实业有限公司、福建青拓镍业有限公司、福建鼎信科技有限公司、福建青拓物流有限公司、福建青拓设备制造有限公司等八家子公司，在福安市湾坞镇规划建设青拓系列项目及其下游产业链配套项目，总投资超过100亿元。</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eastAsia"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福安市青拓环保建材有限公司</w:t>
      </w:r>
      <w:r>
        <w:rPr>
          <w:rFonts w:hint="eastAsia" w:ascii="Times New Roman" w:hAnsi="Times New Roman" w:eastAsia="宋体" w:cs="Times New Roman"/>
          <w:color w:val="auto"/>
          <w:spacing w:val="4"/>
          <w:kern w:val="0"/>
          <w:sz w:val="24"/>
          <w:highlight w:val="none"/>
          <w:lang w:val="en-US" w:eastAsia="zh-CN"/>
        </w:rPr>
        <w:t>位于</w:t>
      </w:r>
      <w:r>
        <w:rPr>
          <w:rFonts w:hint="default" w:ascii="Times New Roman" w:hAnsi="Times New Roman" w:eastAsia="宋体" w:cs="Times New Roman"/>
          <w:color w:val="auto"/>
          <w:spacing w:val="4"/>
          <w:kern w:val="0"/>
          <w:sz w:val="24"/>
          <w:highlight w:val="none"/>
          <w:lang w:val="en-US" w:eastAsia="zh-CN"/>
        </w:rPr>
        <w:t>福建省宁德市福安市湾坞镇上洋村</w:t>
      </w:r>
      <w:r>
        <w:rPr>
          <w:rFonts w:hint="eastAsia" w:ascii="Times New Roman" w:hAnsi="Times New Roman" w:eastAsia="宋体" w:cs="Times New Roman"/>
          <w:color w:val="auto"/>
          <w:spacing w:val="4"/>
          <w:kern w:val="0"/>
          <w:sz w:val="24"/>
          <w:highlight w:val="none"/>
          <w:lang w:val="en-US" w:eastAsia="zh-CN"/>
        </w:rPr>
        <w:t>，属于</w:t>
      </w:r>
      <w:r>
        <w:rPr>
          <w:rFonts w:hint="default" w:ascii="Times New Roman" w:hAnsi="Times New Roman" w:eastAsia="宋体" w:cs="Times New Roman"/>
          <w:color w:val="auto"/>
          <w:spacing w:val="4"/>
          <w:kern w:val="0"/>
          <w:sz w:val="24"/>
          <w:highlight w:val="none"/>
          <w:lang w:val="en-US" w:eastAsia="zh-CN"/>
        </w:rPr>
        <w:t>青拓集团</w:t>
      </w:r>
      <w:r>
        <w:rPr>
          <w:rFonts w:hint="eastAsia" w:ascii="Times New Roman" w:hAnsi="Times New Roman" w:eastAsia="宋体" w:cs="Times New Roman"/>
          <w:color w:val="auto"/>
          <w:spacing w:val="4"/>
          <w:kern w:val="0"/>
          <w:sz w:val="24"/>
          <w:highlight w:val="none"/>
          <w:lang w:val="en-US" w:eastAsia="zh-CN"/>
        </w:rPr>
        <w:t>子公司，</w:t>
      </w:r>
      <w:r>
        <w:rPr>
          <w:rFonts w:hint="default" w:ascii="Times New Roman" w:hAnsi="Times New Roman" w:eastAsia="宋体" w:cs="Times New Roman"/>
          <w:color w:val="auto"/>
          <w:spacing w:val="4"/>
          <w:kern w:val="0"/>
          <w:sz w:val="24"/>
          <w:highlight w:val="none"/>
          <w:lang w:val="en-US" w:eastAsia="zh-CN"/>
        </w:rPr>
        <w:t>是一家从事水泥制品制造，固体废物治理，金属废料处理等业务的公司，成立于2017年01月05日，公司</w:t>
      </w:r>
      <w:r>
        <w:rPr>
          <w:rFonts w:hint="eastAsia" w:cs="Times New Roman"/>
          <w:color w:val="auto"/>
          <w:spacing w:val="4"/>
          <w:kern w:val="0"/>
          <w:sz w:val="24"/>
          <w:highlight w:val="none"/>
          <w:lang w:val="en-US" w:eastAsia="zh-CN"/>
        </w:rPr>
        <w:t>位于</w:t>
      </w:r>
      <w:r>
        <w:rPr>
          <w:rFonts w:hint="default" w:ascii="Times New Roman" w:hAnsi="Times New Roman" w:eastAsia="宋体" w:cs="Times New Roman"/>
          <w:color w:val="auto"/>
          <w:spacing w:val="4"/>
          <w:kern w:val="0"/>
          <w:sz w:val="24"/>
          <w:highlight w:val="none"/>
          <w:lang w:val="en-US" w:eastAsia="zh-CN"/>
        </w:rPr>
        <w:t>福建省宁德市福安市湾坞镇上洋村</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企业的经营范围为一般项目水泥制品制造</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固体废物治理</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非金属矿物制品制造</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金属废料和碎屑加工处理</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再生资源销售</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非金属废料和碎屑加工处理</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稀土功能材料销售</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资源循环利用服务技术咨询</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技术服务</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技术开发、技术咨询、技术交流、技术转让、技术推广</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货物进出口</w:t>
      </w:r>
      <w:r>
        <w:rPr>
          <w:rFonts w:hint="eastAsia" w:cs="Times New Roman"/>
          <w:color w:val="auto"/>
          <w:spacing w:val="4"/>
          <w:kern w:val="0"/>
          <w:sz w:val="24"/>
          <w:highlight w:val="none"/>
          <w:lang w:val="en-US" w:eastAsia="zh-CN"/>
        </w:rPr>
        <w:t>和</w:t>
      </w:r>
      <w:r>
        <w:rPr>
          <w:rFonts w:hint="default" w:ascii="Times New Roman" w:hAnsi="Times New Roman" w:eastAsia="宋体" w:cs="Times New Roman"/>
          <w:color w:val="auto"/>
          <w:spacing w:val="4"/>
          <w:kern w:val="0"/>
          <w:sz w:val="24"/>
          <w:highlight w:val="none"/>
          <w:lang w:val="en-US" w:eastAsia="zh-CN"/>
        </w:rPr>
        <w:t>技术进出口</w:t>
      </w:r>
      <w:r>
        <w:rPr>
          <w:rFonts w:hint="eastAsia" w:cs="Times New Roman"/>
          <w:color w:val="auto"/>
          <w:spacing w:val="4"/>
          <w:kern w:val="0"/>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不锈钢企业的冶炼废渣主要包括钢铁水淬炉渣、球磨渣、铁合金水淬炉渣等。随着青拓集团快速发展，解决废渣处置问题十分迫切。因此，福安市青拓环保建材有限公司</w:t>
      </w:r>
      <w:r>
        <w:rPr>
          <w:rFonts w:hint="eastAsia" w:cs="Times New Roman"/>
          <w:color w:val="auto"/>
          <w:spacing w:val="4"/>
          <w:kern w:val="0"/>
          <w:sz w:val="24"/>
          <w:highlight w:val="none"/>
          <w:lang w:val="en-US" w:eastAsia="zh-CN"/>
        </w:rPr>
        <w:t>已</w:t>
      </w:r>
      <w:r>
        <w:rPr>
          <w:rFonts w:hint="default" w:ascii="Times New Roman" w:hAnsi="Times New Roman" w:eastAsia="宋体" w:cs="Times New Roman"/>
          <w:color w:val="auto"/>
          <w:spacing w:val="4"/>
          <w:kern w:val="0"/>
          <w:sz w:val="24"/>
          <w:highlight w:val="none"/>
          <w:lang w:val="en-US" w:eastAsia="zh-CN"/>
        </w:rPr>
        <w:t>在福安市湾坞镇上洋村建设2条年处理量为150万吨的矿渣微粉生产线，年处理300万吨工业废渣综合利用项目</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工程占地面积99000m</w:t>
      </w:r>
      <w:r>
        <w:rPr>
          <w:rFonts w:hint="default" w:ascii="Times New Roman" w:hAnsi="Times New Roman" w:eastAsia="宋体" w:cs="Times New Roman"/>
          <w:color w:val="auto"/>
          <w:spacing w:val="4"/>
          <w:kern w:val="0"/>
          <w:sz w:val="24"/>
          <w:highlight w:val="none"/>
          <w:vertAlign w:val="superscript"/>
          <w:lang w:val="en-US" w:eastAsia="zh-CN"/>
        </w:rPr>
        <w:t>2</w:t>
      </w:r>
      <w:r>
        <w:rPr>
          <w:rFonts w:hint="default" w:ascii="Times New Roman" w:hAnsi="Times New Roman" w:eastAsia="宋体" w:cs="Times New Roman"/>
          <w:color w:val="auto"/>
          <w:spacing w:val="4"/>
          <w:kern w:val="0"/>
          <w:sz w:val="24"/>
          <w:highlight w:val="none"/>
          <w:lang w:val="en-US" w:eastAsia="zh-CN"/>
        </w:rPr>
        <w:t>。可处理</w:t>
      </w:r>
      <w:bookmarkStart w:id="17" w:name="_Hlk489471246"/>
      <w:r>
        <w:rPr>
          <w:rFonts w:hint="default" w:ascii="Times New Roman" w:hAnsi="Times New Roman" w:eastAsia="宋体" w:cs="Times New Roman"/>
          <w:color w:val="auto"/>
          <w:spacing w:val="4"/>
          <w:kern w:val="0"/>
          <w:sz w:val="24"/>
          <w:highlight w:val="none"/>
          <w:lang w:val="en-US" w:eastAsia="zh-CN"/>
        </w:rPr>
        <w:t>含水率约为20.86%的钢铁水淬炉渣约200万吨、处理含水率约为14.65%的球磨渣约60万吨、处理含水率约为8.91%的铁合金水淬炉渣约40万吨</w:t>
      </w:r>
      <w:bookmarkEnd w:id="17"/>
      <w:r>
        <w:rPr>
          <w:rFonts w:hint="default" w:ascii="Times New Roman" w:hAnsi="Times New Roman" w:eastAsia="宋体" w:cs="Times New Roman"/>
          <w:color w:val="auto"/>
          <w:spacing w:val="4"/>
          <w:kern w:val="0"/>
          <w:sz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宁德市福安生态环境局（原福安市环境保护局）于2017年10月23日以安环保[2017]121号文对“《福安市青拓环保建材有限公司年处理300万吨工业废渣综合利用项目环境影响报告书》”予以批复</w:t>
      </w:r>
      <w:r>
        <w:rPr>
          <w:rFonts w:hint="eastAsia" w:cs="Times New Roman"/>
          <w:color w:val="auto"/>
          <w:spacing w:val="4"/>
          <w:kern w:val="0"/>
          <w:sz w:val="24"/>
          <w:highlight w:val="none"/>
          <w:lang w:val="en-US" w:eastAsia="zh-CN"/>
        </w:rPr>
        <w:t>，在2019年3月27日完成阶段性竣工环保验收，2021年1月29日完成验收</w:t>
      </w:r>
      <w:r>
        <w:rPr>
          <w:rFonts w:hint="default" w:ascii="Times New Roman" w:hAnsi="Times New Roman" w:eastAsia="宋体" w:cs="Times New Roman"/>
          <w:color w:val="auto"/>
          <w:spacing w:val="4"/>
          <w:kern w:val="0"/>
          <w:sz w:val="24"/>
          <w:highlight w:val="none"/>
          <w:lang w:val="en-US" w:eastAsia="zh-CN"/>
        </w:rPr>
        <w:t>。</w:t>
      </w:r>
    </w:p>
    <w:p>
      <w:pPr>
        <w:pStyle w:val="1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cs="Times New Roman"/>
          <w:color w:val="auto"/>
          <w:kern w:val="2"/>
          <w:sz w:val="24"/>
          <w:szCs w:val="24"/>
          <w:lang w:val="en-US" w:eastAsia="zh-CN" w:bidi="ar-SA"/>
        </w:rPr>
      </w:pPr>
      <w:r>
        <w:rPr>
          <w:rFonts w:hint="default" w:ascii="Times New Roman" w:hAnsi="Times New Roman" w:cs="Times New Roman"/>
          <w:color w:val="auto"/>
          <w:sz w:val="24"/>
          <w:lang w:val="en-US" w:eastAsia="zh-CN"/>
        </w:rPr>
        <w:t>本项目</w:t>
      </w:r>
      <w:r>
        <w:rPr>
          <w:rFonts w:hint="eastAsia" w:cs="Times New Roman"/>
          <w:color w:val="auto"/>
          <w:sz w:val="24"/>
          <w:lang w:val="en-US" w:eastAsia="zh-CN"/>
        </w:rPr>
        <w:t>利用</w:t>
      </w:r>
      <w:r>
        <w:rPr>
          <w:rFonts w:hint="default" w:ascii="Times New Roman" w:hAnsi="Times New Roman" w:cs="Times New Roman"/>
          <w:color w:val="auto"/>
          <w:sz w:val="24"/>
          <w:lang w:val="en-US" w:eastAsia="zh-CN"/>
        </w:rPr>
        <w:t>公司现有</w:t>
      </w:r>
      <w:r>
        <w:rPr>
          <w:rFonts w:hint="eastAsia" w:cs="Times New Roman"/>
          <w:color w:val="auto"/>
          <w:sz w:val="24"/>
          <w:lang w:val="en-US" w:eastAsia="zh-CN"/>
        </w:rPr>
        <w:t>厂房，建设一条钢渣综合利用生产线，主要建设</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台破碎机</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台</w:t>
      </w:r>
      <w:r>
        <w:rPr>
          <w:rFonts w:hint="eastAsia" w:cs="Times New Roman"/>
          <w:color w:val="auto"/>
          <w:kern w:val="2"/>
          <w:sz w:val="24"/>
          <w:szCs w:val="24"/>
          <w:lang w:val="en-US" w:eastAsia="zh-CN" w:bidi="ar-SA"/>
        </w:rPr>
        <w:t>筛分机、1</w:t>
      </w:r>
      <w:r>
        <w:rPr>
          <w:rFonts w:hint="eastAsia" w:ascii="Times New Roman" w:hAnsi="Times New Roman" w:eastAsia="宋体" w:cs="Times New Roman"/>
          <w:color w:val="auto"/>
          <w:kern w:val="2"/>
          <w:sz w:val="24"/>
          <w:szCs w:val="24"/>
          <w:lang w:val="en-US" w:eastAsia="zh-CN" w:bidi="ar-SA"/>
        </w:rPr>
        <w:t>台</w:t>
      </w:r>
      <w:r>
        <w:rPr>
          <w:rFonts w:hint="eastAsia" w:cs="Times New Roman"/>
          <w:color w:val="auto"/>
          <w:kern w:val="2"/>
          <w:sz w:val="24"/>
          <w:szCs w:val="24"/>
          <w:lang w:val="en-US" w:eastAsia="zh-CN" w:bidi="ar-SA"/>
        </w:rPr>
        <w:t>搅拌机及辅助设施</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采用破碎-筛分-搅拌生产工艺，以青拓集团精炼渣磁选铁精矿后的钢渣为原料，形成</w:t>
      </w:r>
      <w:r>
        <w:rPr>
          <w:rFonts w:hint="default" w:ascii="Times New Roman" w:hAnsi="Times New Roman" w:cs="Times New Roman"/>
          <w:color w:val="auto"/>
          <w:sz w:val="24"/>
          <w:lang w:val="en-US" w:eastAsia="zh-CN"/>
        </w:rPr>
        <w:t>路基垫层138t/a和钢渣细粉12t/a，占用建筑面积2000平方米。本</w:t>
      </w:r>
      <w:r>
        <w:rPr>
          <w:rFonts w:hint="eastAsia" w:cs="Times New Roman"/>
          <w:color w:val="auto"/>
          <w:sz w:val="24"/>
          <w:lang w:val="en-US" w:eastAsia="zh-CN"/>
        </w:rPr>
        <w:t>次技改</w:t>
      </w:r>
      <w:r>
        <w:rPr>
          <w:rFonts w:hint="default" w:ascii="Times New Roman" w:hAnsi="Times New Roman" w:cs="Times New Roman"/>
          <w:color w:val="auto"/>
          <w:sz w:val="24"/>
          <w:lang w:val="en-US" w:eastAsia="zh-CN"/>
        </w:rPr>
        <w:t>是将</w:t>
      </w:r>
      <w:r>
        <w:rPr>
          <w:rFonts w:hint="eastAsia" w:cs="Times New Roman"/>
          <w:color w:val="auto"/>
          <w:sz w:val="24"/>
          <w:lang w:val="en-US" w:eastAsia="zh-CN"/>
        </w:rPr>
        <w:t>原</w:t>
      </w:r>
      <w:r>
        <w:rPr>
          <w:rFonts w:hint="default" w:ascii="Times New Roman" w:hAnsi="Times New Roman" w:cs="Times New Roman"/>
          <w:color w:val="auto"/>
          <w:sz w:val="24"/>
          <w:lang w:val="en-US" w:eastAsia="zh-CN"/>
        </w:rPr>
        <w:t>已停用的机制砂生产线进行技术改造，</w:t>
      </w:r>
      <w:r>
        <w:rPr>
          <w:rFonts w:hint="eastAsia" w:cs="Times New Roman"/>
          <w:color w:val="auto"/>
          <w:spacing w:val="4"/>
          <w:kern w:val="0"/>
          <w:sz w:val="24"/>
          <w:highlight w:val="none"/>
          <w:lang w:val="en-US" w:eastAsia="zh-CN"/>
        </w:rPr>
        <w:t>机制砂生产线于2018年年底建成，生产原料为废钢渣，2019年初停产，</w:t>
      </w:r>
      <w:r>
        <w:rPr>
          <w:rFonts w:hint="eastAsia" w:ascii="Times New Roman" w:hAnsi="Times New Roman" w:eastAsia="宋体" w:cs="Times New Roman"/>
          <w:color w:val="auto"/>
          <w:kern w:val="2"/>
          <w:sz w:val="24"/>
          <w:szCs w:val="24"/>
          <w:lang w:val="en-US" w:eastAsia="zh-CN" w:bidi="ar-SA"/>
        </w:rPr>
        <w:t>占地</w:t>
      </w:r>
      <w:r>
        <w:rPr>
          <w:rFonts w:hint="eastAsia" w:cs="Times New Roman"/>
          <w:color w:val="auto"/>
          <w:kern w:val="2"/>
          <w:sz w:val="24"/>
          <w:szCs w:val="24"/>
          <w:lang w:val="en-US" w:eastAsia="zh-CN" w:bidi="ar-SA"/>
        </w:rPr>
        <w:t>面积2000</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现有1</w:t>
      </w:r>
      <w:r>
        <w:rPr>
          <w:rFonts w:hint="eastAsia" w:ascii="Times New Roman" w:hAnsi="Times New Roman" w:eastAsia="宋体" w:cs="Times New Roman"/>
          <w:color w:val="auto"/>
          <w:kern w:val="2"/>
          <w:sz w:val="24"/>
          <w:szCs w:val="24"/>
          <w:lang w:val="en-US" w:eastAsia="zh-CN" w:bidi="ar-SA"/>
        </w:rPr>
        <w:t>台破碎机</w:t>
      </w:r>
      <w:r>
        <w:rPr>
          <w:rFonts w:hint="eastAsia" w:cs="Times New Roman"/>
          <w:color w:val="auto"/>
          <w:kern w:val="2"/>
          <w:sz w:val="24"/>
          <w:szCs w:val="24"/>
          <w:lang w:val="en-US" w:eastAsia="zh-CN" w:bidi="ar-SA"/>
        </w:rPr>
        <w:t>和1</w:t>
      </w:r>
      <w:r>
        <w:rPr>
          <w:rFonts w:hint="eastAsia" w:ascii="Times New Roman" w:hAnsi="Times New Roman" w:eastAsia="宋体" w:cs="Times New Roman"/>
          <w:color w:val="auto"/>
          <w:kern w:val="2"/>
          <w:sz w:val="24"/>
          <w:szCs w:val="24"/>
          <w:lang w:val="en-US" w:eastAsia="zh-CN" w:bidi="ar-SA"/>
        </w:rPr>
        <w:t>台振动筛</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本次技改</w:t>
      </w:r>
      <w:r>
        <w:rPr>
          <w:rFonts w:hint="eastAsia" w:cs="Times New Roman"/>
          <w:color w:val="auto"/>
          <w:kern w:val="2"/>
          <w:sz w:val="24"/>
          <w:szCs w:val="24"/>
          <w:lang w:val="en-US" w:eastAsia="zh-CN" w:bidi="ar-SA"/>
        </w:rPr>
        <w:t>将</w:t>
      </w:r>
      <w:r>
        <w:rPr>
          <w:rFonts w:hint="eastAsia" w:ascii="Times New Roman" w:hAnsi="Times New Roman" w:eastAsia="宋体" w:cs="Times New Roman"/>
          <w:color w:val="auto"/>
          <w:kern w:val="2"/>
          <w:sz w:val="24"/>
          <w:szCs w:val="24"/>
          <w:lang w:val="en-US" w:eastAsia="zh-CN" w:bidi="ar-SA"/>
        </w:rPr>
        <w:t>现有设备</w:t>
      </w:r>
      <w:r>
        <w:rPr>
          <w:rFonts w:hint="eastAsia" w:cs="Times New Roman"/>
          <w:color w:val="auto"/>
          <w:kern w:val="2"/>
          <w:sz w:val="24"/>
          <w:szCs w:val="24"/>
          <w:lang w:val="en-US" w:eastAsia="zh-CN" w:bidi="ar-SA"/>
        </w:rPr>
        <w:t>全部拆除</w:t>
      </w:r>
      <w:r>
        <w:rPr>
          <w:rFonts w:hint="eastAsia" w:ascii="Times New Roman" w:hAnsi="Times New Roman" w:eastAsia="宋体" w:cs="Times New Roman"/>
          <w:color w:val="auto"/>
          <w:kern w:val="2"/>
          <w:sz w:val="24"/>
          <w:szCs w:val="24"/>
          <w:lang w:val="en-US" w:eastAsia="zh-CN" w:bidi="ar-SA"/>
        </w:rPr>
        <w:t>，利用</w:t>
      </w:r>
      <w:r>
        <w:rPr>
          <w:rFonts w:hint="eastAsia" w:cs="Times New Roman"/>
          <w:color w:val="auto"/>
          <w:kern w:val="2"/>
          <w:sz w:val="24"/>
          <w:szCs w:val="24"/>
          <w:lang w:val="en-US" w:eastAsia="zh-CN" w:bidi="ar-SA"/>
        </w:rPr>
        <w:t>其</w:t>
      </w:r>
      <w:r>
        <w:rPr>
          <w:rFonts w:hint="eastAsia" w:ascii="Times New Roman" w:hAnsi="Times New Roman" w:eastAsia="宋体" w:cs="Times New Roman"/>
          <w:color w:val="auto"/>
          <w:kern w:val="2"/>
          <w:sz w:val="24"/>
          <w:szCs w:val="24"/>
          <w:lang w:val="en-US" w:eastAsia="zh-CN" w:bidi="ar-SA"/>
        </w:rPr>
        <w:t>生产</w:t>
      </w:r>
      <w:r>
        <w:rPr>
          <w:rFonts w:hint="eastAsia" w:cs="Times New Roman"/>
          <w:color w:val="auto"/>
          <w:kern w:val="2"/>
          <w:sz w:val="24"/>
          <w:szCs w:val="24"/>
          <w:lang w:val="en-US" w:eastAsia="zh-CN" w:bidi="ar-SA"/>
        </w:rPr>
        <w:t>场地。</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项目钢渣是以硅酸钙为主的固熔体</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其化学成份主要是 SiO</w:t>
      </w:r>
      <w:r>
        <w:rPr>
          <w:rFonts w:hint="default" w:ascii="Times New Roman" w:hAnsi="Times New Roman" w:eastAsia="宋体" w:cs="Times New Roman"/>
          <w:color w:val="auto"/>
          <w:spacing w:val="4"/>
          <w:kern w:val="0"/>
          <w:sz w:val="24"/>
          <w:highlight w:val="none"/>
          <w:vertAlign w:val="subscript"/>
          <w:lang w:val="en-US" w:eastAsia="zh-CN"/>
        </w:rPr>
        <w:t>2</w:t>
      </w:r>
      <w:r>
        <w:rPr>
          <w:rFonts w:hint="default" w:ascii="Times New Roman" w:hAnsi="Times New Roman" w:eastAsia="宋体" w:cs="Times New Roman"/>
          <w:color w:val="auto"/>
          <w:spacing w:val="4"/>
          <w:kern w:val="0"/>
          <w:sz w:val="24"/>
          <w:highlight w:val="none"/>
          <w:lang w:val="en-US" w:eastAsia="zh-CN"/>
        </w:rPr>
        <w:t>、CaO、A1</w:t>
      </w:r>
      <w:r>
        <w:rPr>
          <w:rFonts w:hint="default" w:ascii="Times New Roman" w:hAnsi="Times New Roman" w:eastAsia="宋体" w:cs="Times New Roman"/>
          <w:color w:val="auto"/>
          <w:spacing w:val="4"/>
          <w:kern w:val="0"/>
          <w:sz w:val="24"/>
          <w:highlight w:val="none"/>
          <w:vertAlign w:val="subscript"/>
          <w:lang w:val="en-US" w:eastAsia="zh-CN"/>
        </w:rPr>
        <w:t>2</w:t>
      </w:r>
      <w:r>
        <w:rPr>
          <w:rFonts w:hint="default" w:ascii="Times New Roman" w:hAnsi="Times New Roman" w:eastAsia="宋体" w:cs="Times New Roman"/>
          <w:color w:val="auto"/>
          <w:spacing w:val="4"/>
          <w:kern w:val="0"/>
          <w:sz w:val="24"/>
          <w:highlight w:val="none"/>
          <w:lang w:val="en-US" w:eastAsia="zh-CN"/>
        </w:rPr>
        <w:t>O</w:t>
      </w:r>
      <w:r>
        <w:rPr>
          <w:rFonts w:hint="default" w:ascii="Times New Roman" w:hAnsi="Times New Roman" w:eastAsia="宋体" w:cs="Times New Roman"/>
          <w:color w:val="auto"/>
          <w:spacing w:val="4"/>
          <w:kern w:val="0"/>
          <w:sz w:val="24"/>
          <w:highlight w:val="none"/>
          <w:vertAlign w:val="subscript"/>
          <w:lang w:val="en-US" w:eastAsia="zh-CN"/>
        </w:rPr>
        <w:t>3</w:t>
      </w:r>
      <w:r>
        <w:rPr>
          <w:rFonts w:hint="default" w:ascii="Times New Roman" w:hAnsi="Times New Roman" w:eastAsia="宋体" w:cs="Times New Roman"/>
          <w:color w:val="auto"/>
          <w:spacing w:val="4"/>
          <w:kern w:val="0"/>
          <w:sz w:val="24"/>
          <w:highlight w:val="none"/>
          <w:lang w:val="en-US" w:eastAsia="zh-CN"/>
        </w:rPr>
        <w:t>、Fe</w:t>
      </w:r>
      <w:r>
        <w:rPr>
          <w:rFonts w:hint="default" w:ascii="Times New Roman" w:hAnsi="Times New Roman" w:eastAsia="宋体" w:cs="Times New Roman"/>
          <w:color w:val="auto"/>
          <w:spacing w:val="4"/>
          <w:kern w:val="0"/>
          <w:sz w:val="24"/>
          <w:highlight w:val="none"/>
          <w:vertAlign w:val="subscript"/>
          <w:lang w:val="en-US" w:eastAsia="zh-CN"/>
        </w:rPr>
        <w:t>2</w:t>
      </w:r>
      <w:r>
        <w:rPr>
          <w:rFonts w:hint="default" w:ascii="Times New Roman" w:hAnsi="Times New Roman" w:eastAsia="宋体" w:cs="Times New Roman"/>
          <w:color w:val="auto"/>
          <w:spacing w:val="4"/>
          <w:kern w:val="0"/>
          <w:sz w:val="24"/>
          <w:highlight w:val="none"/>
          <w:lang w:val="en-US" w:eastAsia="zh-CN"/>
        </w:rPr>
        <w:t>O</w:t>
      </w:r>
      <w:r>
        <w:rPr>
          <w:rFonts w:hint="default" w:ascii="Times New Roman" w:hAnsi="Times New Roman" w:eastAsia="宋体" w:cs="Times New Roman"/>
          <w:color w:val="auto"/>
          <w:spacing w:val="4"/>
          <w:kern w:val="0"/>
          <w:sz w:val="24"/>
          <w:highlight w:val="none"/>
          <w:vertAlign w:val="subscript"/>
          <w:lang w:val="en-US" w:eastAsia="zh-CN"/>
        </w:rPr>
        <w:t>3</w:t>
      </w:r>
      <w:r>
        <w:rPr>
          <w:rFonts w:hint="default" w:ascii="Times New Roman" w:hAnsi="Times New Roman" w:eastAsia="宋体" w:cs="Times New Roman"/>
          <w:color w:val="auto"/>
          <w:spacing w:val="4"/>
          <w:kern w:val="0"/>
          <w:sz w:val="24"/>
          <w:highlight w:val="none"/>
          <w:lang w:val="en-US" w:eastAsia="zh-CN"/>
        </w:rPr>
        <w:t xml:space="preserve"> 等，与水泥熟料一样，具有潜在的水化活性，而活性的大小与化学成份及水淬产生的玻璃体含量有关</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 xml:space="preserve">钢渣细粉和路基垫层的诸多优良性能也为越来越多的混凝土制造商和建筑商所赏识。对于工业废渣，国务院要求各部门加以综合利用，变废为宝，提倡“谁排放谁利用，谁投资谁收益”的原则。对于建材工业，提倡利用工业废渣生产水泥或作为混凝土的掺和料等。近年来，国家对建材工业的政策是“控制总量，调整结构”，其原则是保护环境，节约资源，实施可持续发展战略，在坚持总量控制、加快淘汰落后工艺与装备的前提下，支持属于提高技术水平、产品升级又有市场的重点建设工程。 </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eastAsia" w:ascii="Times New Roman" w:hAnsi="Times New Roman" w:eastAsia="宋体" w:cs="Times New Roman"/>
          <w:color w:val="auto"/>
          <w:spacing w:val="4"/>
          <w:kern w:val="0"/>
          <w:sz w:val="24"/>
          <w:highlight w:val="none"/>
          <w:lang w:val="en-US" w:eastAsia="zh-CN"/>
        </w:rPr>
        <w:t>因此</w:t>
      </w:r>
      <w:r>
        <w:rPr>
          <w:rFonts w:hint="default" w:ascii="Times New Roman" w:hAnsi="Times New Roman" w:eastAsia="宋体" w:cs="Times New Roman"/>
          <w:color w:val="auto"/>
          <w:spacing w:val="4"/>
          <w:kern w:val="0"/>
          <w:sz w:val="24"/>
          <w:highlight w:val="none"/>
          <w:lang w:val="en-US" w:eastAsia="zh-CN"/>
        </w:rPr>
        <w:t>，福安市青拓环保建材有限公司</w:t>
      </w:r>
      <w:r>
        <w:rPr>
          <w:rFonts w:hint="eastAsia" w:cs="Times New Roman"/>
          <w:color w:val="auto"/>
          <w:spacing w:val="4"/>
          <w:kern w:val="0"/>
          <w:sz w:val="24"/>
          <w:highlight w:val="none"/>
          <w:lang w:val="en-US" w:eastAsia="zh-CN"/>
        </w:rPr>
        <w:t>拟</w:t>
      </w:r>
      <w:r>
        <w:rPr>
          <w:rFonts w:hint="default" w:ascii="Times New Roman" w:hAnsi="Times New Roman" w:eastAsia="宋体" w:cs="Times New Roman"/>
          <w:color w:val="auto"/>
          <w:spacing w:val="4"/>
          <w:kern w:val="0"/>
          <w:sz w:val="24"/>
          <w:highlight w:val="none"/>
          <w:lang w:val="en-US" w:eastAsia="zh-CN"/>
        </w:rPr>
        <w:t>在厂区</w:t>
      </w:r>
      <w:r>
        <w:rPr>
          <w:rFonts w:hint="eastAsia" w:cs="Times New Roman"/>
          <w:color w:val="auto"/>
          <w:spacing w:val="4"/>
          <w:kern w:val="0"/>
          <w:sz w:val="24"/>
          <w:highlight w:val="none"/>
          <w:lang w:val="en-US" w:eastAsia="zh-CN"/>
        </w:rPr>
        <w:t>原矿渣堆棚内划出2000</w:t>
      </w:r>
      <w:r>
        <w:rPr>
          <w:rFonts w:hint="default" w:ascii="Times New Roman" w:hAnsi="Times New Roman" w:eastAsia="宋体" w:cs="Times New Roman"/>
          <w:color w:val="auto"/>
          <w:spacing w:val="4"/>
          <w:kern w:val="0"/>
          <w:sz w:val="24"/>
          <w:highlight w:val="none"/>
          <w:lang w:val="en-US" w:eastAsia="zh-CN"/>
        </w:rPr>
        <w:t>m</w:t>
      </w:r>
      <w:r>
        <w:rPr>
          <w:rFonts w:hint="default" w:ascii="Times New Roman" w:hAnsi="Times New Roman" w:eastAsia="宋体" w:cs="Times New Roman"/>
          <w:color w:val="auto"/>
          <w:spacing w:val="4"/>
          <w:kern w:val="0"/>
          <w:sz w:val="24"/>
          <w:highlight w:val="none"/>
          <w:vertAlign w:val="superscript"/>
          <w:lang w:val="en-US" w:eastAsia="zh-CN"/>
        </w:rPr>
        <w:t>2</w:t>
      </w:r>
      <w:r>
        <w:rPr>
          <w:rFonts w:hint="eastAsia" w:ascii="Times New Roman" w:hAnsi="Times New Roman" w:eastAsia="宋体" w:cs="Times New Roman"/>
          <w:color w:val="auto"/>
          <w:spacing w:val="4"/>
          <w:kern w:val="0"/>
          <w:sz w:val="24"/>
          <w:highlight w:val="none"/>
          <w:lang w:val="en-US" w:eastAsia="zh-CN"/>
        </w:rPr>
        <w:t>用地</w:t>
      </w:r>
      <w:r>
        <w:rPr>
          <w:rFonts w:hint="default" w:ascii="Times New Roman" w:hAnsi="Times New Roman" w:eastAsia="宋体" w:cs="Times New Roman"/>
          <w:color w:val="auto"/>
          <w:spacing w:val="4"/>
          <w:kern w:val="0"/>
          <w:sz w:val="24"/>
          <w:highlight w:val="none"/>
          <w:lang w:val="en-US" w:eastAsia="zh-CN"/>
        </w:rPr>
        <w:t>，</w:t>
      </w:r>
      <w:r>
        <w:rPr>
          <w:rFonts w:hint="eastAsia" w:cs="Times New Roman"/>
          <w:color w:val="auto"/>
          <w:spacing w:val="4"/>
          <w:kern w:val="0"/>
          <w:sz w:val="24"/>
          <w:highlight w:val="none"/>
          <w:lang w:val="en-US" w:eastAsia="zh-CN"/>
        </w:rPr>
        <w:t>技改</w:t>
      </w:r>
      <w:r>
        <w:rPr>
          <w:rFonts w:hint="default" w:ascii="Times New Roman" w:hAnsi="Times New Roman" w:eastAsia="宋体" w:cs="Times New Roman"/>
          <w:color w:val="auto"/>
          <w:spacing w:val="4"/>
          <w:kern w:val="0"/>
          <w:sz w:val="24"/>
          <w:highlight w:val="none"/>
          <w:lang w:val="en-US" w:eastAsia="zh-CN"/>
        </w:rPr>
        <w:t>建设钢渣综合利用技改项目，</w:t>
      </w:r>
      <w:r>
        <w:rPr>
          <w:rFonts w:hint="eastAsia" w:cs="Times New Roman"/>
          <w:color w:val="auto"/>
          <w:spacing w:val="4"/>
          <w:kern w:val="0"/>
          <w:sz w:val="24"/>
          <w:highlight w:val="none"/>
          <w:lang w:val="en-US" w:eastAsia="zh-CN"/>
        </w:rPr>
        <w:t>矿渣堆棚</w:t>
      </w:r>
      <w:r>
        <w:rPr>
          <w:rFonts w:hint="default" w:ascii="Times New Roman" w:hAnsi="Times New Roman" w:eastAsia="宋体" w:cs="Times New Roman"/>
          <w:color w:val="auto"/>
          <w:spacing w:val="4"/>
          <w:kern w:val="0"/>
          <w:sz w:val="24"/>
          <w:highlight w:val="none"/>
          <w:lang w:val="en-US" w:eastAsia="zh-CN"/>
        </w:rPr>
        <w:t>已取得</w:t>
      </w:r>
      <w:r>
        <w:rPr>
          <w:rFonts w:hint="eastAsia" w:cs="Times New Roman"/>
          <w:color w:val="auto"/>
          <w:spacing w:val="4"/>
          <w:kern w:val="0"/>
          <w:sz w:val="24"/>
          <w:highlight w:val="none"/>
          <w:lang w:val="en-US" w:eastAsia="zh-CN"/>
        </w:rPr>
        <w:t>建设用地使用权，</w:t>
      </w:r>
      <w:r>
        <w:rPr>
          <w:rFonts w:hint="default" w:ascii="Times New Roman" w:hAnsi="Times New Roman" w:eastAsia="宋体" w:cs="Times New Roman"/>
          <w:color w:val="auto"/>
          <w:spacing w:val="4"/>
          <w:kern w:val="0"/>
          <w:sz w:val="24"/>
          <w:highlight w:val="none"/>
          <w:lang w:val="en-US" w:eastAsia="zh-CN"/>
        </w:rPr>
        <w:t>见附件</w:t>
      </w:r>
      <w:r>
        <w:rPr>
          <w:rFonts w:hint="eastAsia" w:cs="Times New Roman"/>
          <w:color w:val="auto"/>
          <w:spacing w:val="4"/>
          <w:kern w:val="0"/>
          <w:sz w:val="24"/>
          <w:highlight w:val="none"/>
          <w:lang w:val="en-US" w:eastAsia="zh-CN"/>
        </w:rPr>
        <w:t>五</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 xml:space="preserve"> </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福安市青拓环保建材有限公司于2023年0</w:t>
      </w:r>
      <w:r>
        <w:rPr>
          <w:rFonts w:hint="eastAsia" w:ascii="Times New Roman" w:hAnsi="Times New Roman" w:eastAsia="宋体" w:cs="Times New Roman"/>
          <w:color w:val="auto"/>
          <w:spacing w:val="4"/>
          <w:kern w:val="0"/>
          <w:sz w:val="24"/>
          <w:highlight w:val="none"/>
          <w:lang w:val="en-US" w:eastAsia="zh-CN"/>
        </w:rPr>
        <w:t>8</w:t>
      </w:r>
      <w:r>
        <w:rPr>
          <w:rFonts w:hint="default" w:ascii="Times New Roman" w:hAnsi="Times New Roman" w:eastAsia="宋体" w:cs="Times New Roman"/>
          <w:color w:val="auto"/>
          <w:spacing w:val="4"/>
          <w:kern w:val="0"/>
          <w:sz w:val="24"/>
          <w:highlight w:val="none"/>
          <w:lang w:val="en-US" w:eastAsia="zh-CN"/>
        </w:rPr>
        <w:t>月委托福建省冶金工业设计院有限公司对“</w:t>
      </w:r>
      <w:r>
        <w:rPr>
          <w:rFonts w:hint="eastAsia" w:cs="Times New Roman"/>
          <w:color w:val="auto"/>
          <w:spacing w:val="4"/>
          <w:kern w:val="0"/>
          <w:sz w:val="24"/>
          <w:highlight w:val="none"/>
          <w:lang w:val="en-US" w:eastAsia="zh-CN"/>
        </w:rPr>
        <w:t>钢渣综合利用技改项目</w:t>
      </w:r>
      <w:r>
        <w:rPr>
          <w:rFonts w:hint="default" w:ascii="Times New Roman" w:hAnsi="Times New Roman" w:eastAsia="宋体" w:cs="Times New Roman"/>
          <w:color w:val="auto"/>
          <w:spacing w:val="4"/>
          <w:kern w:val="0"/>
          <w:sz w:val="24"/>
          <w:highlight w:val="none"/>
          <w:lang w:val="en-US" w:eastAsia="zh-CN"/>
        </w:rPr>
        <w:t>”进行环境影响评价，该项目属于《建设项目环境影响评价分类管理名录》（2021年版）中“三十</w:t>
      </w:r>
      <w:r>
        <w:rPr>
          <w:rFonts w:hint="eastAsia" w:ascii="Times New Roman" w:hAnsi="Times New Roman" w:eastAsia="宋体" w:cs="Times New Roman"/>
          <w:color w:val="auto"/>
          <w:spacing w:val="4"/>
          <w:kern w:val="0"/>
          <w:sz w:val="24"/>
          <w:highlight w:val="none"/>
          <w:lang w:val="en-US" w:eastAsia="zh-CN"/>
        </w:rPr>
        <w:t>九</w:t>
      </w:r>
      <w:r>
        <w:rPr>
          <w:rFonts w:hint="default" w:ascii="Times New Roman" w:hAnsi="Times New Roman" w:eastAsia="宋体" w:cs="Times New Roman"/>
          <w:color w:val="auto"/>
          <w:spacing w:val="4"/>
          <w:kern w:val="0"/>
          <w:sz w:val="24"/>
          <w:highlight w:val="none"/>
          <w:lang w:val="en-US" w:eastAsia="zh-CN"/>
        </w:rPr>
        <w:t>、废弃资源综合利用业</w:t>
      </w:r>
      <w:r>
        <w:rPr>
          <w:rFonts w:hint="eastAsia" w:ascii="Times New Roman" w:hAnsi="Times New Roman" w:eastAsia="宋体" w:cs="Times New Roman"/>
          <w:color w:val="auto"/>
          <w:spacing w:val="4"/>
          <w:kern w:val="0"/>
          <w:sz w:val="24"/>
          <w:highlight w:val="none"/>
          <w:lang w:val="en-US" w:eastAsia="zh-CN"/>
        </w:rPr>
        <w:t xml:space="preserve"> </w:t>
      </w:r>
      <w:r>
        <w:rPr>
          <w:rFonts w:hint="default" w:ascii="Times New Roman" w:hAnsi="Times New Roman" w:eastAsia="宋体" w:cs="Times New Roman"/>
          <w:color w:val="auto"/>
          <w:spacing w:val="4"/>
          <w:kern w:val="0"/>
          <w:sz w:val="24"/>
          <w:highlight w:val="none"/>
          <w:lang w:val="en-US" w:eastAsia="zh-CN"/>
        </w:rPr>
        <w:t>42”的“8</w:t>
      </w:r>
      <w:r>
        <w:rPr>
          <w:rFonts w:hint="eastAsia" w:ascii="Times New Roman" w:hAnsi="Times New Roman" w:eastAsia="宋体" w:cs="Times New Roman"/>
          <w:color w:val="auto"/>
          <w:spacing w:val="4"/>
          <w:kern w:val="0"/>
          <w:sz w:val="24"/>
          <w:highlight w:val="none"/>
          <w:lang w:val="en-US" w:eastAsia="zh-CN"/>
        </w:rPr>
        <w:t>5</w:t>
      </w:r>
      <w:r>
        <w:rPr>
          <w:rFonts w:hint="default" w:ascii="Times New Roman" w:hAnsi="Times New Roman" w:eastAsia="宋体" w:cs="Times New Roman"/>
          <w:color w:val="auto"/>
          <w:spacing w:val="4"/>
          <w:kern w:val="0"/>
          <w:sz w:val="24"/>
          <w:highlight w:val="none"/>
          <w:lang w:val="en-US" w:eastAsia="zh-CN"/>
        </w:rPr>
        <w:t xml:space="preserve"> 金属废料和碎屑加工处理 421”</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本项目</w:t>
      </w:r>
      <w:r>
        <w:rPr>
          <w:rFonts w:hint="eastAsia" w:cs="Times New Roman"/>
          <w:color w:val="auto"/>
          <w:spacing w:val="4"/>
          <w:kern w:val="0"/>
          <w:sz w:val="24"/>
          <w:highlight w:val="none"/>
          <w:lang w:val="en-US" w:eastAsia="zh-CN"/>
        </w:rPr>
        <w:t>属于钢渣综合利用，</w:t>
      </w:r>
      <w:r>
        <w:rPr>
          <w:rFonts w:hint="default" w:ascii="Times New Roman" w:hAnsi="Times New Roman" w:eastAsia="宋体" w:cs="Times New Roman"/>
          <w:color w:val="auto"/>
          <w:spacing w:val="4"/>
          <w:kern w:val="0"/>
          <w:sz w:val="24"/>
          <w:highlight w:val="none"/>
          <w:lang w:val="en-US" w:eastAsia="zh-CN"/>
        </w:rPr>
        <w:t>不属于</w:t>
      </w:r>
      <w:r>
        <w:rPr>
          <w:rFonts w:ascii="宋体" w:hAnsi="宋体" w:eastAsia="宋体" w:cs="宋体"/>
          <w:sz w:val="24"/>
          <w:szCs w:val="24"/>
        </w:rPr>
        <w:t>废电池、废油加工处理</w:t>
      </w:r>
      <w:r>
        <w:rPr>
          <w:rFonts w:hint="default" w:ascii="Times New Roman" w:hAnsi="Times New Roman" w:eastAsia="宋体" w:cs="Times New Roman"/>
          <w:color w:val="auto"/>
          <w:spacing w:val="4"/>
          <w:kern w:val="0"/>
          <w:sz w:val="24"/>
          <w:highlight w:val="none"/>
          <w:lang w:val="en-US" w:eastAsia="zh-CN"/>
        </w:rPr>
        <w:t>，本项目</w:t>
      </w:r>
      <w:r>
        <w:rPr>
          <w:rFonts w:hint="eastAsia" w:ascii="Times New Roman" w:hAnsi="Times New Roman" w:eastAsia="宋体" w:cs="Times New Roman"/>
          <w:color w:val="auto"/>
          <w:spacing w:val="4"/>
          <w:kern w:val="0"/>
          <w:sz w:val="24"/>
          <w:highlight w:val="none"/>
          <w:lang w:val="en-US" w:eastAsia="zh-CN"/>
        </w:rPr>
        <w:t>应</w:t>
      </w:r>
      <w:r>
        <w:rPr>
          <w:rFonts w:hint="default" w:ascii="Times New Roman" w:hAnsi="Times New Roman" w:eastAsia="宋体" w:cs="Times New Roman"/>
          <w:color w:val="auto"/>
          <w:spacing w:val="4"/>
          <w:kern w:val="0"/>
          <w:sz w:val="24"/>
          <w:highlight w:val="none"/>
          <w:lang w:val="en-US" w:eastAsia="zh-CN"/>
        </w:rPr>
        <w:t>编制环境影响报告表。</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sectPr>
          <w:footerReference r:id="rId4"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val="0"/>
        <w:pageBreakBefore w:val="0"/>
        <w:widowControl/>
        <w:kinsoku/>
        <w:wordWrap/>
        <w:overflowPunct/>
        <w:topLinePunct w:val="0"/>
        <w:autoSpaceDE/>
        <w:autoSpaceDN/>
        <w:bidi w:val="0"/>
        <w:adjustRightInd/>
        <w:snapToGrid w:val="0"/>
        <w:spacing w:before="157" w:beforeLines="50" w:after="156" w:afterLines="50" w:line="240" w:lineRule="auto"/>
        <w:jc w:val="center"/>
        <w:textAlignment w:val="auto"/>
        <w:outlineLvl w:val="0"/>
        <w:rPr>
          <w:rFonts w:hint="default" w:ascii="Times New Roman" w:hAnsi="Times New Roman" w:eastAsia="黑体" w:cs="Times New Roman"/>
          <w:snapToGrid w:val="0"/>
          <w:color w:val="auto"/>
          <w:kern w:val="0"/>
          <w:sz w:val="30"/>
          <w:szCs w:val="30"/>
          <w:highlight w:val="none"/>
          <w:lang w:val="en-US" w:eastAsia="zh-CN"/>
        </w:rPr>
      </w:pPr>
      <w:bookmarkStart w:id="18" w:name="_Toc15773"/>
      <w:bookmarkStart w:id="19" w:name="_Toc1741"/>
      <w:r>
        <w:rPr>
          <w:rFonts w:hint="eastAsia" w:ascii="Times New Roman" w:hAnsi="Times New Roman" w:eastAsia="黑体" w:cs="Times New Roman"/>
          <w:snapToGrid w:val="0"/>
          <w:color w:val="auto"/>
          <w:kern w:val="0"/>
          <w:sz w:val="30"/>
          <w:szCs w:val="30"/>
          <w:highlight w:val="none"/>
          <w:lang w:val="en-US" w:eastAsia="zh-CN"/>
        </w:rPr>
        <w:t>一、</w:t>
      </w:r>
      <w:r>
        <w:rPr>
          <w:rFonts w:hint="default" w:ascii="Times New Roman" w:hAnsi="Times New Roman" w:eastAsia="黑体" w:cs="Times New Roman"/>
          <w:snapToGrid w:val="0"/>
          <w:color w:val="auto"/>
          <w:kern w:val="0"/>
          <w:sz w:val="30"/>
          <w:szCs w:val="30"/>
          <w:highlight w:val="none"/>
          <w:lang w:val="en-US" w:eastAsia="zh-CN"/>
        </w:rPr>
        <w:t>建设项目基本情况</w:t>
      </w:r>
      <w:bookmarkEnd w:id="15"/>
      <w:bookmarkEnd w:id="16"/>
      <w:bookmarkEnd w:id="18"/>
      <w:bookmarkEnd w:id="19"/>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79"/>
        <w:gridCol w:w="2729"/>
        <w:gridCol w:w="1871"/>
        <w:gridCol w:w="2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4021" w:type="pct"/>
            <w:gridSpan w:val="3"/>
            <w:noWrap w:val="0"/>
            <w:vAlign w:val="center"/>
          </w:tcPr>
          <w:p>
            <w:pPr>
              <w:adjustRightInd w:val="0"/>
              <w:snapToGrid w:val="0"/>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钢渣综合利用技改项目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项目代码</w:t>
            </w:r>
          </w:p>
        </w:tc>
        <w:tc>
          <w:tcPr>
            <w:tcW w:w="4021" w:type="pct"/>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2309-350981-07-01-544928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1500" w:type="pct"/>
            <w:noWrap w:val="0"/>
            <w:vAlign w:val="center"/>
          </w:tcPr>
          <w:p>
            <w:pPr>
              <w:adjustRightInd w:val="0"/>
              <w:snapToGrid w:val="0"/>
              <w:jc w:val="center"/>
              <w:rPr>
                <w:rFonts w:hint="default" w:ascii="Times New Roman" w:hAnsi="Times New Roman" w:cs="Times New Roman"/>
                <w:color w:val="auto"/>
                <w:sz w:val="24"/>
                <w:szCs w:val="24"/>
                <w:highlight w:val="none"/>
              </w:rPr>
            </w:pPr>
          </w:p>
        </w:tc>
        <w:tc>
          <w:tcPr>
            <w:tcW w:w="1028" w:type="pct"/>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1493" w:type="pct"/>
            <w:noWrap w:val="0"/>
            <w:vAlign w:val="center"/>
          </w:tcPr>
          <w:p>
            <w:pPr>
              <w:adjustRightInd w:val="0"/>
              <w:snapToGrid w:val="0"/>
              <w:jc w:val="center"/>
              <w:rPr>
                <w:rFonts w:hint="default" w:ascii="Times New Roman" w:hAnsi="Times New Roman"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4021" w:type="pct"/>
            <w:gridSpan w:val="3"/>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u w:val="none"/>
              </w:rPr>
              <w:t>福建</w:t>
            </w:r>
            <w:r>
              <w:rPr>
                <w:rFonts w:hint="default" w:ascii="Times New Roman" w:hAnsi="Times New Roman" w:cs="Times New Roman"/>
                <w:color w:val="auto"/>
                <w:sz w:val="24"/>
                <w:szCs w:val="24"/>
              </w:rPr>
              <w:t>省</w:t>
            </w:r>
            <w:r>
              <w:rPr>
                <w:rFonts w:hint="eastAsia" w:cs="Times New Roman"/>
                <w:color w:val="auto"/>
                <w:sz w:val="24"/>
                <w:szCs w:val="24"/>
                <w:u w:val="none"/>
                <w:lang w:val="en-US" w:eastAsia="zh-CN"/>
              </w:rPr>
              <w:t>宁德</w:t>
            </w:r>
            <w:r>
              <w:rPr>
                <w:rFonts w:hint="default" w:ascii="Times New Roman" w:hAnsi="Times New Roman" w:cs="Times New Roman"/>
                <w:color w:val="auto"/>
                <w:sz w:val="24"/>
                <w:szCs w:val="24"/>
              </w:rPr>
              <w:t>市福安市湾坞镇上洋村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4021" w:type="pct"/>
            <w:gridSpan w:val="3"/>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11</w:t>
            </w:r>
            <w:r>
              <w:rPr>
                <w:rFonts w:hint="eastAsia" w:cs="Times New Roman"/>
                <w:color w:val="auto"/>
                <w:sz w:val="24"/>
                <w:szCs w:val="24"/>
                <w:highlight w:val="none"/>
                <w:u w:val="single"/>
                <w:lang w:val="en-US" w:eastAsia="zh-CN"/>
              </w:rPr>
              <w:t>9</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42</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53.03</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 xml:space="preserve"> 2</w:t>
            </w:r>
            <w:r>
              <w:rPr>
                <w:rFonts w:hint="eastAsia" w:cs="Times New Roman"/>
                <w:color w:val="auto"/>
                <w:sz w:val="24"/>
                <w:szCs w:val="24"/>
                <w:highlight w:val="none"/>
                <w:u w:val="single"/>
                <w:lang w:val="en-US" w:eastAsia="zh-CN"/>
              </w:rPr>
              <w:t>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47</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45.24</w:t>
            </w:r>
            <w:r>
              <w:rPr>
                <w:rFonts w:hint="default" w:ascii="Times New Roman" w:hAnsi="Times New Roman"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500" w:type="pct"/>
            <w:noWrap w:val="0"/>
            <w:vAlign w:val="center"/>
          </w:tcPr>
          <w:p>
            <w:pPr>
              <w:pStyle w:val="45"/>
              <w:spacing w:line="240" w:lineRule="exact"/>
              <w:ind w:firstLine="0" w:firstLineChars="0"/>
              <w:rPr>
                <w:rFonts w:hint="default" w:ascii="Times New Roman" w:hAnsi="Times New Roman" w:eastAsia="宋体" w:cs="Times New Roman"/>
                <w:snapToGrid/>
                <w:color w:val="auto"/>
                <w:sz w:val="24"/>
                <w:szCs w:val="24"/>
                <w:highlight w:val="none"/>
                <w:lang w:val="en-US" w:eastAsia="zh-CN"/>
              </w:rPr>
            </w:pPr>
            <w:r>
              <w:rPr>
                <w:rFonts w:hint="default" w:ascii="Times New Roman" w:hAnsi="Times New Roman" w:eastAsia="宋体" w:cs="Times New Roman"/>
                <w:snapToGrid/>
                <w:color w:val="auto"/>
                <w:kern w:val="2"/>
                <w:sz w:val="24"/>
                <w:szCs w:val="24"/>
                <w:highlight w:val="none"/>
                <w:lang w:val="en-US" w:eastAsia="zh-CN" w:bidi="ar-SA"/>
              </w:rPr>
              <w:t>C</w:t>
            </w:r>
            <w:r>
              <w:rPr>
                <w:rFonts w:hint="eastAsia" w:cs="Times New Roman"/>
                <w:snapToGrid/>
                <w:color w:val="auto"/>
                <w:kern w:val="2"/>
                <w:sz w:val="24"/>
                <w:szCs w:val="24"/>
                <w:highlight w:val="none"/>
                <w:lang w:val="en-US" w:eastAsia="zh-CN" w:bidi="ar-SA"/>
              </w:rPr>
              <w:t>4210金属废料和碎屑加工处理</w:t>
            </w:r>
          </w:p>
        </w:tc>
        <w:tc>
          <w:tcPr>
            <w:tcW w:w="1028" w:type="pct"/>
            <w:noWrap w:val="0"/>
            <w:vAlign w:val="center"/>
          </w:tcPr>
          <w:p>
            <w:pPr>
              <w:adjustRightInd w:val="0"/>
              <w:snapToGrid w:val="0"/>
              <w:jc w:val="center"/>
              <w:rPr>
                <w:rFonts w:hint="default" w:ascii="Times New Roman" w:hAnsi="Times New Roman" w:cs="Times New Roman"/>
                <w:color w:val="auto"/>
                <w:sz w:val="24"/>
                <w:szCs w:val="24"/>
                <w:highlight w:val="none"/>
              </w:rPr>
            </w:pPr>
            <w:bookmarkStart w:id="20" w:name="_Hlk49843745"/>
            <w:r>
              <w:rPr>
                <w:rFonts w:hint="default" w:ascii="Times New Roman" w:hAnsi="Times New Roman" w:cs="Times New Roman"/>
                <w:color w:val="auto"/>
                <w:sz w:val="24"/>
                <w:szCs w:val="24"/>
                <w:highlight w:val="none"/>
              </w:rPr>
              <w:t>建设项目</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20"/>
          </w:p>
        </w:tc>
        <w:tc>
          <w:tcPr>
            <w:tcW w:w="1493" w:type="pct"/>
            <w:noWrap w:val="0"/>
            <w:vAlign w:val="center"/>
          </w:tcPr>
          <w:p>
            <w:pPr>
              <w:adjustRightInd w:val="0"/>
              <w:snapToGrid w:val="0"/>
              <w:spacing w:line="240" w:lineRule="exact"/>
              <w:jc w:val="center"/>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snapToGrid/>
                <w:color w:val="auto"/>
                <w:kern w:val="2"/>
                <w:sz w:val="24"/>
                <w:szCs w:val="24"/>
                <w:highlight w:val="none"/>
                <w:lang w:val="en-US" w:eastAsia="zh-CN" w:bidi="ar-SA"/>
              </w:rPr>
              <w:t>三十</w:t>
            </w:r>
            <w:r>
              <w:rPr>
                <w:rFonts w:hint="eastAsia" w:cs="Times New Roman"/>
                <w:snapToGrid/>
                <w:color w:val="auto"/>
                <w:kern w:val="2"/>
                <w:sz w:val="24"/>
                <w:szCs w:val="24"/>
                <w:highlight w:val="none"/>
                <w:lang w:val="en-US" w:eastAsia="zh-CN" w:bidi="ar-SA"/>
              </w:rPr>
              <w:t>九</w:t>
            </w:r>
            <w:r>
              <w:rPr>
                <w:rFonts w:hint="default"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color w:val="auto"/>
                <w:spacing w:val="4"/>
                <w:kern w:val="0"/>
                <w:sz w:val="24"/>
                <w:highlight w:val="none"/>
                <w:lang w:val="en-US" w:eastAsia="zh-CN"/>
              </w:rPr>
              <w:t>废弃资源综合利用业</w:t>
            </w:r>
            <w:r>
              <w:rPr>
                <w:rFonts w:hint="default" w:ascii="Times New Roman" w:hAnsi="Times New Roman" w:eastAsia="宋体" w:cs="Times New Roman"/>
                <w:snapToGrid/>
                <w:color w:val="auto"/>
                <w:kern w:val="2"/>
                <w:sz w:val="24"/>
                <w:szCs w:val="24"/>
                <w:highlight w:val="none"/>
                <w:lang w:val="en-US" w:eastAsia="zh-CN" w:bidi="ar-SA"/>
              </w:rPr>
              <w:t xml:space="preserve"> </w:t>
            </w:r>
            <w:r>
              <w:rPr>
                <w:rFonts w:hint="default" w:ascii="Times New Roman" w:hAnsi="Times New Roman" w:eastAsia="宋体" w:cs="Times New Roman"/>
                <w:color w:val="auto"/>
                <w:spacing w:val="4"/>
                <w:kern w:val="0"/>
                <w:sz w:val="24"/>
                <w:highlight w:val="none"/>
                <w:lang w:val="en-US" w:eastAsia="zh-CN"/>
              </w:rPr>
              <w:t>42</w:t>
            </w:r>
            <w:r>
              <w:rPr>
                <w:rFonts w:hint="default"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color w:val="auto"/>
                <w:spacing w:val="4"/>
                <w:kern w:val="0"/>
                <w:sz w:val="24"/>
                <w:highlight w:val="none"/>
                <w:lang w:val="en-US" w:eastAsia="zh-CN"/>
              </w:rPr>
              <w:t>8</w:t>
            </w:r>
            <w:r>
              <w:rPr>
                <w:rFonts w:hint="eastAsia" w:ascii="Times New Roman" w:hAnsi="Times New Roman" w:eastAsia="宋体" w:cs="Times New Roman"/>
                <w:color w:val="auto"/>
                <w:spacing w:val="4"/>
                <w:kern w:val="0"/>
                <w:sz w:val="24"/>
                <w:highlight w:val="none"/>
                <w:lang w:val="en-US" w:eastAsia="zh-CN"/>
              </w:rPr>
              <w:t>5</w:t>
            </w:r>
            <w:r>
              <w:rPr>
                <w:rFonts w:hint="default" w:ascii="Times New Roman" w:hAnsi="Times New Roman" w:eastAsia="宋体" w:cs="Times New Roman"/>
                <w:color w:val="auto"/>
                <w:spacing w:val="4"/>
                <w:kern w:val="0"/>
                <w:sz w:val="24"/>
                <w:highlight w:val="none"/>
                <w:lang w:val="en-US" w:eastAsia="zh-CN"/>
              </w:rPr>
              <w:t xml:space="preserve"> 金属废料和碎屑加工处理 421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建设性质</w:t>
            </w:r>
          </w:p>
        </w:tc>
        <w:tc>
          <w:tcPr>
            <w:tcW w:w="1500" w:type="pct"/>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技术改造</w:t>
            </w:r>
          </w:p>
        </w:tc>
        <w:tc>
          <w:tcPr>
            <w:tcW w:w="1028" w:type="pct"/>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申报情形</w:t>
            </w:r>
          </w:p>
        </w:tc>
        <w:tc>
          <w:tcPr>
            <w:tcW w:w="1493" w:type="pct"/>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备案）部门（选填）</w:t>
            </w:r>
          </w:p>
        </w:tc>
        <w:tc>
          <w:tcPr>
            <w:tcW w:w="1500"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福安市工业和信息化局</w:t>
            </w:r>
          </w:p>
        </w:tc>
        <w:tc>
          <w:tcPr>
            <w:tcW w:w="1028" w:type="pct"/>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149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闽工信备【2023】J020047号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500"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200</w:t>
            </w:r>
          </w:p>
        </w:tc>
        <w:tc>
          <w:tcPr>
            <w:tcW w:w="102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1493"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500" w:type="pc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w:t>
            </w:r>
          </w:p>
        </w:tc>
        <w:tc>
          <w:tcPr>
            <w:tcW w:w="102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1493" w:type="pct"/>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97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是否开工建设</w:t>
            </w:r>
          </w:p>
        </w:tc>
        <w:tc>
          <w:tcPr>
            <w:tcW w:w="1500" w:type="pct"/>
            <w:noWrap w:val="0"/>
            <w:vAlign w:val="center"/>
          </w:tcPr>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A3"/>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028" w:type="pct"/>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pPr>
              <w:adjustRightInd w:val="0"/>
              <w:snapToGrid w:val="0"/>
              <w:jc w:val="center"/>
              <w:rPr>
                <w:rFonts w:hint="default" w:ascii="Times New Roman" w:hAnsi="Times New Roman" w:cs="Times New Roman"/>
                <w:color w:val="auto"/>
                <w:sz w:val="24"/>
                <w:szCs w:val="24"/>
                <w:highlight w:val="yellow"/>
              </w:rPr>
            </w:pPr>
            <w:r>
              <w:rPr>
                <w:rFonts w:hint="default" w:ascii="Times New Roman" w:hAnsi="Times New Roman" w:cs="Times New Roman"/>
                <w:color w:val="auto"/>
                <w:spacing w:val="-6"/>
                <w:sz w:val="24"/>
                <w:szCs w:val="24"/>
                <w:highlight w:val="none"/>
              </w:rPr>
              <w:t>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1493" w:type="pc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78" w:type="pct"/>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4021" w:type="pct"/>
            <w:gridSpan w:val="3"/>
            <w:noWrap w:val="0"/>
            <w:vAlign w:val="center"/>
          </w:tcPr>
          <w:p>
            <w:pPr>
              <w:autoSpaceDE w:val="0"/>
              <w:autoSpaceDN w:val="0"/>
              <w:adjustRightInd w:val="0"/>
              <w:snapToGrid w:val="0"/>
              <w:ind w:firstLine="480" w:firstLineChars="200"/>
              <w:rPr>
                <w:rFonts w:hint="default" w:ascii="Times New Roman" w:hAnsi="Times New Roman" w:eastAsia="Times New Roman" w:cs="Times New Roman"/>
                <w:color w:val="auto"/>
                <w:kern w:val="0"/>
                <w:sz w:val="24"/>
                <w:szCs w:val="24"/>
              </w:rPr>
            </w:pPr>
            <w:r>
              <w:rPr>
                <w:rFonts w:hint="default" w:ascii="Times New Roman" w:hAnsi="Times New Roman" w:eastAsia="Times New Roman"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978" w:type="pct"/>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4021" w:type="pct"/>
            <w:gridSpan w:val="3"/>
            <w:noWrap w:val="0"/>
            <w:vAlign w:val="center"/>
          </w:tcPr>
          <w:p>
            <w:pPr>
              <w:pStyle w:val="97"/>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①开发区名称：福安市湾坞工贸区</w:t>
            </w:r>
          </w:p>
          <w:p>
            <w:pPr>
              <w:pStyle w:val="97"/>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②审批机关：宁德市人民政府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Cs w:val="21"/>
              </w:rPr>
            </w:pPr>
            <w:r>
              <w:rPr>
                <w:rFonts w:hint="default" w:ascii="Times New Roman" w:hAnsi="Times New Roman" w:eastAsia="宋体" w:cs="Times New Roman"/>
                <w:snapToGrid w:val="0"/>
                <w:color w:val="auto"/>
                <w:kern w:val="0"/>
                <w:sz w:val="24"/>
                <w:szCs w:val="24"/>
                <w:highlight w:val="none"/>
                <w:lang w:val="en-US" w:eastAsia="zh-CN" w:bidi="ar-SA"/>
              </w:rPr>
              <w:t>③审批文件名称及文号：宁政文[2019]7号《宁德市人民政府关于宁德白马城区湾坞-溪尾组团18-B19-A单元控制性详细规划的批复》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8" w:type="pc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4021" w:type="pct"/>
            <w:gridSpan w:val="3"/>
            <w:noWrap w:val="0"/>
            <w:vAlign w:val="center"/>
          </w:tcPr>
          <w:p>
            <w:pPr>
              <w:pStyle w:val="97"/>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①规划环境影响评价文件：《福安市湾坞工贸集中区总体规划环境影响报告书》</w:t>
            </w:r>
          </w:p>
          <w:p>
            <w:pPr>
              <w:pStyle w:val="97"/>
              <w:ind w:firstLine="420"/>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②召集审查机关：原福安市环境保护局</w:t>
            </w:r>
          </w:p>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kern w:val="0"/>
                <w:szCs w:val="21"/>
              </w:rPr>
            </w:pPr>
            <w:r>
              <w:rPr>
                <w:rFonts w:hint="default" w:ascii="Times New Roman" w:hAnsi="Times New Roman" w:eastAsia="宋体" w:cs="Times New Roman"/>
                <w:snapToGrid w:val="0"/>
                <w:color w:val="auto"/>
                <w:kern w:val="0"/>
                <w:sz w:val="24"/>
                <w:szCs w:val="24"/>
                <w:highlight w:val="none"/>
                <w:lang w:val="en-US" w:eastAsia="zh-CN" w:bidi="ar-SA"/>
              </w:rPr>
              <w:t>③审查文件名称及文号：安环保[2018</w:t>
            </w:r>
            <w:r>
              <w:rPr>
                <w:rFonts w:hint="default" w:ascii="Times New Roman" w:hAnsi="Times New Roman" w:cs="Times New Roman"/>
                <w:snapToGrid w:val="0"/>
                <w:color w:val="auto"/>
                <w:kern w:val="0"/>
                <w:sz w:val="24"/>
                <w:szCs w:val="24"/>
                <w:highlight w:val="none"/>
                <w:lang w:val="en-US" w:eastAsia="zh-CN" w:bidi="ar-SA"/>
              </w:rPr>
              <w:t>]</w:t>
            </w:r>
            <w:r>
              <w:rPr>
                <w:rFonts w:hint="default" w:ascii="Times New Roman" w:hAnsi="Times New Roman" w:eastAsia="宋体" w:cs="Times New Roman"/>
                <w:snapToGrid w:val="0"/>
                <w:color w:val="auto"/>
                <w:kern w:val="0"/>
                <w:sz w:val="24"/>
                <w:szCs w:val="24"/>
                <w:highlight w:val="none"/>
                <w:lang w:val="en-US" w:eastAsia="zh-CN" w:bidi="ar-SA"/>
              </w:rPr>
              <w:t>144号《福安市环保局关于&lt;福安市湾坞工贸集中区总体规划环境影响报告书&gt;审查意见的函》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6" w:hRule="atLeast"/>
          <w:jc w:val="center"/>
        </w:trPr>
        <w:tc>
          <w:tcPr>
            <w:tcW w:w="978" w:type="pct"/>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4021" w:type="pct"/>
            <w:gridSpan w:val="3"/>
            <w:noWrap w:val="0"/>
            <w:vAlign w:val="center"/>
          </w:tcPr>
          <w:p>
            <w:pPr>
              <w:adjustRightInd w:val="0"/>
              <w:snapToGrid w:val="0"/>
              <w:spacing w:before="120" w:beforeLines="50" w:line="360" w:lineRule="auto"/>
              <w:ind w:firstLine="482" w:firstLineChars="200"/>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cs="Times New Roman"/>
                <w:b/>
                <w:bCs/>
                <w:color w:val="auto"/>
                <w:sz w:val="24"/>
              </w:rPr>
              <w:t>（1）与《宁德市城市总体规划（2011-2030）》的符合性分析</w:t>
            </w:r>
          </w:p>
          <w:p>
            <w:pPr>
              <w:pStyle w:val="80"/>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根据《宁德市城市总体规划（2011~2030）》，宁德市规划构建“一城四区”的城市空间结构。“一城”指宁德市中心城区，“四区”指中心城区由四个城区组成，包括主城区、白马城区、海西宁德工业区和三都岛群区。白马城区职能类型为：港口－工业型，主要职能：以船舶、冶金、能源工业为主导的大型装备制造基地。本项目位于白马城区，属于青拓</w:t>
            </w:r>
            <w:r>
              <w:rPr>
                <w:rFonts w:hint="eastAsia" w:ascii="Times New Roman" w:hAnsi="Times New Roman" w:cs="Times New Roman"/>
                <w:snapToGrid w:val="0"/>
                <w:color w:val="auto"/>
                <w:kern w:val="0"/>
                <w:highlight w:val="none"/>
                <w:lang w:val="en-US" w:eastAsia="zh-CN"/>
              </w:rPr>
              <w:t>集团</w:t>
            </w:r>
            <w:r>
              <w:rPr>
                <w:rFonts w:hint="default" w:ascii="Times New Roman" w:hAnsi="Times New Roman" w:eastAsia="宋体" w:cs="Times New Roman"/>
                <w:snapToGrid w:val="0"/>
                <w:color w:val="auto"/>
                <w:kern w:val="0"/>
                <w:highlight w:val="none"/>
                <w:lang w:val="en-US" w:eastAsia="zh-CN"/>
              </w:rPr>
              <w:t>配套项目，</w:t>
            </w:r>
            <w:r>
              <w:rPr>
                <w:rFonts w:hint="eastAsia" w:ascii="Times New Roman" w:hAnsi="Times New Roman" w:cs="Times New Roman"/>
                <w:snapToGrid w:val="0"/>
                <w:color w:val="auto"/>
                <w:kern w:val="0"/>
                <w:highlight w:val="none"/>
                <w:lang w:val="en-US" w:eastAsia="zh-CN"/>
              </w:rPr>
              <w:t>将</w:t>
            </w:r>
            <w:r>
              <w:rPr>
                <w:rFonts w:hint="default" w:ascii="Times New Roman" w:hAnsi="Times New Roman" w:eastAsia="宋体" w:cs="Times New Roman"/>
                <w:snapToGrid w:val="0"/>
                <w:color w:val="auto"/>
                <w:kern w:val="0"/>
                <w:highlight w:val="none"/>
                <w:lang w:val="en-US" w:eastAsia="zh-CN"/>
              </w:rPr>
              <w:t>与白马区块规划的冶金工业属性没有冲突，因此项目选址符合宁德市城市总体规划，详见图1.1-1。</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（2）与《福安市湾坞工贸区总体规划》的符合性分析</w:t>
            </w:r>
          </w:p>
          <w:p>
            <w:pPr>
              <w:pStyle w:val="10"/>
              <w:adjustRightInd w:val="0"/>
              <w:snapToGrid w:val="0"/>
              <w:spacing w:line="360" w:lineRule="auto"/>
              <w:ind w:firstLineChars="200"/>
              <w:rPr>
                <w:rFonts w:hint="default" w:ascii="Times New Roman" w:hAnsi="Times New Roman" w:cs="Times New Roman"/>
                <w:color w:val="auto"/>
                <w:sz w:val="24"/>
              </w:rPr>
            </w:pPr>
            <w:r>
              <w:rPr>
                <w:rFonts w:hint="default" w:ascii="Times New Roman" w:hAnsi="Times New Roman" w:cs="Times New Roman"/>
                <w:color w:val="auto"/>
                <w:sz w:val="24"/>
              </w:rPr>
              <w:t>根据《福安市湾坞工贸区总体规划》，该规划范围北面沈海高速公路为界，东、南、西三面临海堤，规划湾坞西片区由北至南分别为湾坞新城、冶金新材料产业园和能源工业区；湾坞东片区由北至南分别为下邳军民融合产业园、东部冶金新材料产业园和白马港物流区。规划区总体上构成“一环串六坊，八脉通双江”的布局结构。</w:t>
            </w:r>
          </w:p>
          <w:p>
            <w:pPr>
              <w:pStyle w:val="10"/>
              <w:adjustRightInd w:val="0"/>
              <w:snapToGrid w:val="0"/>
              <w:spacing w:line="360" w:lineRule="auto"/>
              <w:ind w:firstLineChars="200"/>
              <w:rPr>
                <w:rFonts w:hint="default" w:ascii="Times New Roman" w:hAnsi="Times New Roman" w:cs="Times New Roman"/>
                <w:color w:val="auto"/>
                <w:sz w:val="24"/>
              </w:rPr>
            </w:pPr>
            <w:r>
              <w:rPr>
                <w:rFonts w:hint="eastAsia" w:cs="Times New Roman"/>
                <w:color w:val="auto"/>
                <w:sz w:val="24"/>
                <w:lang w:eastAsia="zh-CN"/>
              </w:rPr>
              <w:t>本项目</w:t>
            </w:r>
            <w:r>
              <w:rPr>
                <w:rFonts w:hint="default" w:ascii="Times New Roman" w:hAnsi="Times New Roman" w:cs="Times New Roman"/>
                <w:color w:val="auto"/>
                <w:sz w:val="24"/>
              </w:rPr>
              <w:t>位于</w:t>
            </w:r>
            <w:r>
              <w:rPr>
                <w:rFonts w:hint="default" w:ascii="Times New Roman" w:hAnsi="Times New Roman" w:cs="Times New Roman"/>
                <w:color w:val="auto"/>
                <w:sz w:val="24"/>
                <w:lang w:val="en-US" w:eastAsia="zh-CN"/>
              </w:rPr>
              <w:t>福安市青拓环保建材有限公司厂区内</w:t>
            </w:r>
            <w:r>
              <w:rPr>
                <w:rFonts w:hint="default" w:ascii="Times New Roman" w:hAnsi="Times New Roman" w:cs="Times New Roman"/>
                <w:color w:val="auto"/>
                <w:sz w:val="24"/>
              </w:rPr>
              <w:t>，属于三类工业用地，产业布局依托青拓、鼎信、宏旺、甬金、海利、青拓上克等龙头企业，重点发展冶金新材料产业，并利用滨海优势适当发展临港物流。</w:t>
            </w:r>
            <w:r>
              <w:rPr>
                <w:rFonts w:hint="eastAsia" w:cs="Times New Roman"/>
                <w:color w:val="auto"/>
                <w:sz w:val="24"/>
                <w:lang w:eastAsia="zh-CN"/>
              </w:rPr>
              <w:t>本项目</w:t>
            </w:r>
            <w:r>
              <w:rPr>
                <w:rFonts w:hint="default" w:ascii="Times New Roman" w:hAnsi="Times New Roman" w:cs="Times New Roman"/>
                <w:color w:val="auto"/>
                <w:sz w:val="24"/>
              </w:rPr>
              <w:t>主要</w:t>
            </w:r>
            <w:r>
              <w:rPr>
                <w:rFonts w:hint="default" w:ascii="Times New Roman" w:hAnsi="Times New Roman" w:cs="Times New Roman"/>
                <w:color w:val="auto"/>
                <w:sz w:val="24"/>
                <w:lang w:val="en-US" w:eastAsia="zh-CN"/>
              </w:rPr>
              <w:t>以青拓集团精炼渣磁选铁精矿后的钢渣为原料</w:t>
            </w:r>
            <w:r>
              <w:rPr>
                <w:rFonts w:hint="eastAsia" w:cs="Times New Roman"/>
                <w:color w:val="auto"/>
                <w:sz w:val="24"/>
                <w:lang w:val="en-US" w:eastAsia="zh-CN"/>
              </w:rPr>
              <w:t>，</w:t>
            </w:r>
            <w:r>
              <w:rPr>
                <w:rFonts w:hint="default" w:ascii="Times New Roman" w:hAnsi="Times New Roman" w:cs="Times New Roman"/>
                <w:color w:val="auto"/>
                <w:sz w:val="24"/>
                <w:lang w:val="en-US" w:eastAsia="zh-CN"/>
              </w:rPr>
              <w:t>生产</w:t>
            </w:r>
            <w:r>
              <w:rPr>
                <w:rFonts w:hint="eastAsia" w:cs="Times New Roman"/>
                <w:color w:val="auto"/>
                <w:sz w:val="24"/>
                <w:lang w:val="en-US" w:eastAsia="zh-CN"/>
              </w:rPr>
              <w:t>路基垫石和钢渣细粉</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属于</w:t>
            </w:r>
            <w:r>
              <w:rPr>
                <w:rFonts w:hint="default" w:ascii="Times New Roman" w:hAnsi="Times New Roman" w:cs="Times New Roman"/>
                <w:color w:val="auto"/>
                <w:sz w:val="24"/>
                <w:lang w:val="en-US" w:eastAsia="zh-CN"/>
              </w:rPr>
              <w:t>青拓</w:t>
            </w:r>
            <w:r>
              <w:rPr>
                <w:rFonts w:hint="eastAsia" w:cs="Times New Roman"/>
                <w:color w:val="auto"/>
                <w:sz w:val="24"/>
                <w:lang w:val="en-US" w:eastAsia="zh-CN"/>
              </w:rPr>
              <w:t>集团</w:t>
            </w:r>
            <w:r>
              <w:rPr>
                <w:rFonts w:hint="default" w:ascii="Times New Roman" w:hAnsi="Times New Roman" w:cs="Times New Roman"/>
                <w:color w:val="auto"/>
                <w:sz w:val="24"/>
              </w:rPr>
              <w:t>配套产业，因此项目与《福安市湾坞工贸区总体规划》相符。</w:t>
            </w:r>
          </w:p>
          <w:p>
            <w:pPr>
              <w:numPr>
                <w:ilvl w:val="0"/>
                <w:numId w:val="1"/>
              </w:num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highlight w:val="none"/>
              </w:rPr>
              <w:t>与《福安市湾坞工贸区总体规划环境影响报告书》</w:t>
            </w:r>
            <w:r>
              <w:rPr>
                <w:rFonts w:hint="default" w:ascii="Times New Roman" w:hAnsi="Times New Roman" w:cs="Times New Roman"/>
                <w:b/>
                <w:bCs/>
                <w:color w:val="auto"/>
                <w:sz w:val="24"/>
              </w:rPr>
              <w:t>符合性分析</w:t>
            </w:r>
          </w:p>
          <w:p>
            <w:pPr>
              <w:pStyle w:val="10"/>
              <w:adjustRightInd w:val="0"/>
              <w:snapToGrid w:val="0"/>
              <w:spacing w:line="360" w:lineRule="auto"/>
              <w:ind w:firstLineChars="200"/>
              <w:rPr>
                <w:rFonts w:hint="default" w:ascii="Times New Roman" w:hAnsi="Times New Roman" w:cs="Times New Roman"/>
                <w:color w:val="auto"/>
                <w:sz w:val="24"/>
              </w:rPr>
            </w:pPr>
            <w:r>
              <w:rPr>
                <w:rFonts w:hint="eastAsia" w:cs="Times New Roman"/>
                <w:color w:val="auto"/>
                <w:sz w:val="24"/>
                <w:highlight w:val="none"/>
                <w:lang w:eastAsia="zh-CN"/>
              </w:rPr>
              <w:t>本项目</w:t>
            </w:r>
            <w:r>
              <w:rPr>
                <w:rFonts w:hint="default" w:ascii="Times New Roman" w:hAnsi="Times New Roman" w:cs="Times New Roman"/>
                <w:color w:val="auto"/>
                <w:sz w:val="24"/>
                <w:highlight w:val="none"/>
              </w:rPr>
              <w:t>不在规划区环境准入负面清单内，本项目与《</w:t>
            </w:r>
            <w:r>
              <w:rPr>
                <w:rFonts w:hint="default" w:ascii="Times New Roman" w:hAnsi="Times New Roman" w:cs="Times New Roman"/>
                <w:color w:val="auto"/>
                <w:sz w:val="24"/>
              </w:rPr>
              <w:t>福安市湾坞工贸区总体规划环境影响报告书》及审查意见符合性分析见表1</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w:t>
            </w:r>
          </w:p>
          <w:p>
            <w:pPr>
              <w:pStyle w:val="45"/>
              <w:spacing w:before="72" w:beforeLines="30" w:after="72" w:afterLines="30" w:line="240" w:lineRule="auto"/>
              <w:ind w:firstLine="0" w:firstLineChars="0"/>
              <w:jc w:val="center"/>
              <w:rPr>
                <w:rFonts w:hint="default" w:ascii="Times New Roman" w:hAnsi="Times New Roman" w:cs="Times New Roman"/>
                <w:b/>
                <w:bCs/>
                <w:snapToGrid/>
                <w:color w:val="auto"/>
                <w:sz w:val="24"/>
              </w:rPr>
            </w:pPr>
            <w:r>
              <w:rPr>
                <w:rFonts w:hint="default" w:ascii="Times New Roman" w:hAnsi="Times New Roman" w:cs="Times New Roman"/>
                <w:b/>
                <w:bCs/>
                <w:snapToGrid/>
                <w:color w:val="auto"/>
                <w:sz w:val="24"/>
              </w:rPr>
              <w:t>表1</w:t>
            </w:r>
            <w:r>
              <w:rPr>
                <w:rFonts w:hint="default" w:ascii="Times New Roman" w:hAnsi="Times New Roman" w:cs="Times New Roman"/>
                <w:b/>
                <w:bCs/>
                <w:snapToGrid/>
                <w:color w:val="auto"/>
                <w:sz w:val="24"/>
                <w:lang w:val="en-US" w:eastAsia="zh-CN"/>
              </w:rPr>
              <w:t>.1</w:t>
            </w:r>
            <w:r>
              <w:rPr>
                <w:rFonts w:hint="default" w:ascii="Times New Roman" w:hAnsi="Times New Roman" w:cs="Times New Roman"/>
                <w:b/>
                <w:bCs/>
                <w:snapToGrid/>
                <w:color w:val="auto"/>
                <w:sz w:val="24"/>
              </w:rPr>
              <w:t>-1  项目与规划环评及其审查意见符合性分析</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862"/>
              <w:gridCol w:w="235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13"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018"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相关内容</w:t>
                  </w:r>
                </w:p>
              </w:tc>
              <w:tc>
                <w:tcPr>
                  <w:tcW w:w="1661"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eastAsia" w:cs="Times New Roman"/>
                      <w:color w:val="auto"/>
                      <w:szCs w:val="21"/>
                      <w:lang w:eastAsia="zh-CN"/>
                    </w:rPr>
                    <w:t>本项目</w:t>
                  </w:r>
                  <w:r>
                    <w:rPr>
                      <w:rFonts w:hint="default" w:ascii="Times New Roman" w:hAnsi="Times New Roman" w:cs="Times New Roman"/>
                      <w:color w:val="auto"/>
                      <w:szCs w:val="21"/>
                    </w:rPr>
                    <w:t>情况</w:t>
                  </w:r>
                </w:p>
              </w:tc>
              <w:tc>
                <w:tcPr>
                  <w:tcW w:w="705"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符合性</w:t>
                  </w:r>
                </w:p>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规划调整意见</w:t>
                  </w:r>
                </w:p>
              </w:tc>
              <w:tc>
                <w:tcPr>
                  <w:tcW w:w="2018"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调整规划区不锈钢冶炼规划，远期规划区不锈钢粗钢冶炼新增规模控制在350万吨以内（即总规模控制在700万吨内）</w:t>
                  </w:r>
                </w:p>
              </w:tc>
              <w:tc>
                <w:tcPr>
                  <w:tcW w:w="1661" w:type="pct"/>
                  <w:tcBorders>
                    <w:top w:val="single" w:color="auto" w:sz="4" w:space="0"/>
                    <w:left w:val="nil"/>
                    <w:bottom w:val="single" w:color="auto" w:sz="4" w:space="0"/>
                    <w:right w:val="single" w:color="auto" w:sz="4" w:space="0"/>
                  </w:tcBorders>
                  <w:noWrap w:val="0"/>
                  <w:vAlign w:val="center"/>
                </w:tcPr>
                <w:p>
                  <w:pPr>
                    <w:pStyle w:val="13"/>
                    <w:rPr>
                      <w:rFonts w:hint="default" w:ascii="Times New Roman" w:hAnsi="Times New Roman" w:cs="Times New Roman"/>
                      <w:color w:val="auto"/>
                      <w:szCs w:val="21"/>
                      <w:lang w:val="en-US"/>
                    </w:rPr>
                  </w:pPr>
                  <w:r>
                    <w:rPr>
                      <w:rFonts w:hint="default" w:ascii="Times New Roman" w:hAnsi="Times New Roman" w:eastAsia="宋体" w:cs="Times New Roman"/>
                      <w:color w:val="auto"/>
                      <w:kern w:val="2"/>
                      <w:sz w:val="21"/>
                      <w:szCs w:val="21"/>
                      <w:lang w:val="en-US" w:eastAsia="zh-CN" w:bidi="ar-SA"/>
                    </w:rPr>
                    <w:t>本项目</w:t>
                  </w:r>
                  <w:r>
                    <w:rPr>
                      <w:rFonts w:hint="eastAsia" w:ascii="Times New Roman" w:hAnsi="Times New Roman" w:eastAsia="宋体" w:cs="Times New Roman"/>
                      <w:color w:val="auto"/>
                      <w:kern w:val="2"/>
                      <w:sz w:val="21"/>
                      <w:szCs w:val="21"/>
                      <w:lang w:val="en-US" w:eastAsia="zh-CN" w:bidi="ar-SA"/>
                    </w:rPr>
                    <w:t>主要</w:t>
                  </w:r>
                  <w:r>
                    <w:rPr>
                      <w:rFonts w:hint="default" w:ascii="Times New Roman" w:hAnsi="Times New Roman" w:eastAsia="宋体" w:cs="Times New Roman"/>
                      <w:color w:val="auto"/>
                      <w:kern w:val="2"/>
                      <w:sz w:val="21"/>
                      <w:szCs w:val="21"/>
                      <w:lang w:val="en-US" w:eastAsia="zh-CN" w:bidi="ar-SA"/>
                    </w:rPr>
                    <w:t>处理青拓</w:t>
                  </w:r>
                  <w:r>
                    <w:rPr>
                      <w:rFonts w:hint="eastAsia" w:ascii="Times New Roman" w:hAnsi="Times New Roman" w:eastAsia="宋体" w:cs="Times New Roman"/>
                      <w:color w:val="auto"/>
                      <w:kern w:val="2"/>
                      <w:sz w:val="21"/>
                      <w:szCs w:val="21"/>
                      <w:lang w:val="en-US" w:eastAsia="zh-CN" w:bidi="ar-SA"/>
                    </w:rPr>
                    <w:t>集团球磨磁选铁精矿后的钢渣</w:t>
                  </w:r>
                  <w:r>
                    <w:rPr>
                      <w:rFonts w:hint="default" w:ascii="Times New Roman" w:hAnsi="Times New Roman" w:eastAsia="宋体" w:cs="Times New Roman"/>
                      <w:color w:val="auto"/>
                      <w:kern w:val="2"/>
                      <w:sz w:val="21"/>
                      <w:szCs w:val="21"/>
                      <w:lang w:val="en-US" w:eastAsia="zh-CN" w:bidi="ar-SA"/>
                    </w:rPr>
                    <w:t>，生产</w:t>
                  </w:r>
                  <w:r>
                    <w:rPr>
                      <w:rFonts w:hint="eastAsia" w:ascii="Times New Roman" w:hAnsi="Times New Roman" w:eastAsia="宋体" w:cs="Times New Roman"/>
                      <w:color w:val="auto"/>
                      <w:kern w:val="2"/>
                      <w:sz w:val="21"/>
                      <w:szCs w:val="21"/>
                      <w:lang w:val="en-US" w:eastAsia="zh-CN" w:bidi="ar-SA"/>
                    </w:rPr>
                    <w:t>路基垫层和钢渣细粉，</w:t>
                  </w:r>
                  <w:r>
                    <w:rPr>
                      <w:rFonts w:hint="default" w:ascii="Times New Roman" w:hAnsi="Times New Roman" w:eastAsia="宋体" w:cs="Times New Roman"/>
                      <w:color w:val="auto"/>
                      <w:kern w:val="2"/>
                      <w:sz w:val="21"/>
                      <w:szCs w:val="21"/>
                      <w:lang w:val="en-US" w:eastAsia="zh-CN" w:bidi="ar-SA"/>
                    </w:rPr>
                    <w:t>不属于不锈钢冶炼项目。</w:t>
                  </w:r>
                </w:p>
              </w:tc>
              <w:tc>
                <w:tcPr>
                  <w:tcW w:w="705"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w:t>
                  </w:r>
                  <w:r>
                    <w:rPr>
                      <w:rFonts w:hint="default" w:ascii="Times New Roman" w:hAnsi="Times New Roman" w:cs="Times New Roman"/>
                      <w:color w:val="auto"/>
                      <w:szCs w:val="21"/>
                      <w:lang w:val="en-US" w:eastAsia="zh-CN"/>
                    </w:rPr>
                    <w:t>用地规模</w:t>
                  </w:r>
                  <w:r>
                    <w:rPr>
                      <w:rFonts w:hint="default" w:ascii="Times New Roman" w:hAnsi="Times New Roman" w:cs="Times New Roman"/>
                      <w:color w:val="auto"/>
                      <w:szCs w:val="21"/>
                    </w:rPr>
                    <w:t>调整意见</w:t>
                  </w:r>
                </w:p>
              </w:tc>
              <w:tc>
                <w:tcPr>
                  <w:tcW w:w="2018"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规划主导产业为不锈钢产业、港口物流业、高新技术产业、装备制造业及能源产业，应增加相关配套产业。规划区禁止引入《产业结构调整指导目录》中相关行业限制类项目</w:t>
                  </w:r>
                </w:p>
              </w:tc>
              <w:tc>
                <w:tcPr>
                  <w:tcW w:w="1661"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本项目不属于《产业结构调整指导目录》</w:t>
                  </w:r>
                  <w:r>
                    <w:rPr>
                      <w:rFonts w:hint="default" w:ascii="Times New Roman" w:hAnsi="Times New Roman" w:cs="Times New Roman"/>
                      <w:color w:val="auto"/>
                      <w:szCs w:val="21"/>
                      <w:lang w:val="en-US" w:eastAsia="zh-CN"/>
                    </w:rPr>
                    <w:t>（2019 年本）</w:t>
                  </w:r>
                  <w:r>
                    <w:rPr>
                      <w:rFonts w:hint="default" w:ascii="Times New Roman" w:hAnsi="Times New Roman" w:cs="Times New Roman"/>
                      <w:color w:val="auto"/>
                      <w:szCs w:val="21"/>
                    </w:rPr>
                    <w:t>中相关行业限制类项目，属于冶金相关配套产业，</w:t>
                  </w:r>
                  <w:r>
                    <w:rPr>
                      <w:rFonts w:hint="default" w:ascii="Times New Roman" w:hAnsi="Times New Roman" w:cs="Times New Roman"/>
                      <w:color w:val="auto"/>
                      <w:szCs w:val="21"/>
                      <w:lang w:val="en-US" w:eastAsia="zh-CN"/>
                    </w:rPr>
                    <w:t>不属于限制类项目</w:t>
                  </w:r>
                  <w:r>
                    <w:rPr>
                      <w:rFonts w:hint="default" w:ascii="Times New Roman" w:hAnsi="Times New Roman" w:cs="Times New Roman"/>
                      <w:color w:val="auto"/>
                      <w:szCs w:val="21"/>
                    </w:rPr>
                    <w:t>。</w:t>
                  </w:r>
                </w:p>
              </w:tc>
              <w:tc>
                <w:tcPr>
                  <w:tcW w:w="705"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13" w:type="pct"/>
                  <w:tcBorders>
                    <w:top w:val="nil"/>
                    <w:left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空间布局调整意见</w:t>
                  </w:r>
                </w:p>
              </w:tc>
              <w:tc>
                <w:tcPr>
                  <w:tcW w:w="2018"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规划居住用地与三类工业用地间</w:t>
                  </w:r>
                  <w:r>
                    <w:rPr>
                      <w:rFonts w:hint="default" w:ascii="Times New Roman" w:hAnsi="Times New Roman" w:cs="Times New Roman"/>
                      <w:color w:val="auto"/>
                      <w:szCs w:val="21"/>
                      <w:lang w:val="en-US" w:eastAsia="zh-CN"/>
                    </w:rPr>
                    <w:t>应</w:t>
                  </w:r>
                  <w:r>
                    <w:rPr>
                      <w:rFonts w:hint="default" w:ascii="Times New Roman" w:hAnsi="Times New Roman" w:cs="Times New Roman"/>
                      <w:color w:val="auto"/>
                      <w:szCs w:val="21"/>
                    </w:rPr>
                    <w:t>设置不小于500m</w:t>
                  </w:r>
                  <w:r>
                    <w:rPr>
                      <w:rFonts w:hint="default" w:ascii="Times New Roman" w:hAnsi="Times New Roman" w:cs="Times New Roman"/>
                      <w:color w:val="auto"/>
                      <w:szCs w:val="21"/>
                      <w:lang w:val="en-US" w:eastAsia="zh-CN"/>
                    </w:rPr>
                    <w:t>环境隔离</w:t>
                  </w:r>
                  <w:r>
                    <w:rPr>
                      <w:rFonts w:hint="default" w:ascii="Times New Roman" w:hAnsi="Times New Roman" w:cs="Times New Roman"/>
                      <w:color w:val="auto"/>
                      <w:szCs w:val="21"/>
                    </w:rPr>
                    <w:t>带，与</w:t>
                  </w:r>
                  <w:r>
                    <w:rPr>
                      <w:rFonts w:hint="default" w:ascii="Times New Roman" w:hAnsi="Times New Roman" w:cs="Times New Roman"/>
                      <w:color w:val="auto"/>
                      <w:szCs w:val="21"/>
                      <w:lang w:val="en-US" w:eastAsia="zh-CN"/>
                    </w:rPr>
                    <w:t>二</w:t>
                  </w:r>
                  <w:r>
                    <w:rPr>
                      <w:rFonts w:hint="default" w:ascii="Times New Roman" w:hAnsi="Times New Roman" w:cs="Times New Roman"/>
                      <w:color w:val="auto"/>
                      <w:szCs w:val="21"/>
                    </w:rPr>
                    <w:t>类工业用地间</w:t>
                  </w:r>
                  <w:r>
                    <w:rPr>
                      <w:rFonts w:hint="default" w:ascii="Times New Roman" w:hAnsi="Times New Roman" w:cs="Times New Roman"/>
                      <w:color w:val="auto"/>
                      <w:szCs w:val="21"/>
                      <w:lang w:val="en-US" w:eastAsia="zh-CN"/>
                    </w:rPr>
                    <w:t>应</w:t>
                  </w:r>
                  <w:r>
                    <w:rPr>
                      <w:rFonts w:hint="default" w:ascii="Times New Roman" w:hAnsi="Times New Roman" w:cs="Times New Roman"/>
                      <w:color w:val="auto"/>
                      <w:szCs w:val="21"/>
                    </w:rPr>
                    <w:t>设置不小于</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00m的环境隔离带，不锈钢</w:t>
                  </w:r>
                  <w:r>
                    <w:rPr>
                      <w:rFonts w:hint="default" w:ascii="Times New Roman" w:hAnsi="Times New Roman" w:cs="Times New Roman"/>
                      <w:color w:val="auto"/>
                      <w:szCs w:val="21"/>
                      <w:lang w:val="en-US" w:eastAsia="zh-CN"/>
                    </w:rPr>
                    <w:t>冶炼</w:t>
                  </w:r>
                  <w:r>
                    <w:rPr>
                      <w:rFonts w:hint="default" w:ascii="Times New Roman" w:hAnsi="Times New Roman" w:cs="Times New Roman"/>
                      <w:color w:val="auto"/>
                      <w:szCs w:val="21"/>
                    </w:rPr>
                    <w:t>项目用地周边</w:t>
                  </w:r>
                </w:p>
                <w:p>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设置不低于1000m的环境隔离带</w:t>
                  </w:r>
                </w:p>
              </w:tc>
              <w:tc>
                <w:tcPr>
                  <w:tcW w:w="1661" w:type="pct"/>
                  <w:tcBorders>
                    <w:top w:val="single" w:color="auto" w:sz="4" w:space="0"/>
                    <w:left w:val="nil"/>
                    <w:bottom w:val="single" w:color="auto" w:sz="4" w:space="0"/>
                    <w:right w:val="single" w:color="auto" w:sz="4" w:space="0"/>
                  </w:tcBorders>
                  <w:noWrap w:val="0"/>
                  <w:vAlign w:val="center"/>
                </w:tcPr>
                <w:p>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本项目位于福安市青拓环保建材有限公司厂区内，距离最近的居住区为</w:t>
                  </w:r>
                  <w:r>
                    <w:rPr>
                      <w:rFonts w:hint="eastAsia" w:cs="Times New Roman"/>
                      <w:color w:val="auto"/>
                      <w:szCs w:val="21"/>
                      <w:lang w:val="en-US" w:eastAsia="zh-CN"/>
                    </w:rPr>
                    <w:t>上洋村</w:t>
                  </w:r>
                  <w:r>
                    <w:rPr>
                      <w:rFonts w:hint="default" w:ascii="Times New Roman" w:hAnsi="Times New Roman" w:cs="Times New Roman"/>
                      <w:color w:val="auto"/>
                      <w:szCs w:val="21"/>
                      <w:lang w:val="en-US" w:eastAsia="zh-CN"/>
                    </w:rPr>
                    <w:t>，位于本项目</w:t>
                  </w:r>
                  <w:r>
                    <w:rPr>
                      <w:rFonts w:hint="eastAsia" w:cs="Times New Roman"/>
                      <w:color w:val="auto"/>
                      <w:szCs w:val="21"/>
                      <w:lang w:val="en-US" w:eastAsia="zh-CN"/>
                    </w:rPr>
                    <w:t>东侧760</w:t>
                  </w:r>
                  <w:r>
                    <w:rPr>
                      <w:rFonts w:hint="default" w:ascii="Times New Roman" w:hAnsi="Times New Roman" w:cs="Times New Roman"/>
                      <w:color w:val="auto"/>
                      <w:szCs w:val="21"/>
                      <w:lang w:val="en-US" w:eastAsia="zh-CN"/>
                    </w:rPr>
                    <w:t>米</w:t>
                  </w:r>
                  <w:r>
                    <w:rPr>
                      <w:rFonts w:hint="eastAsia" w:cs="Times New Roman"/>
                      <w:color w:val="auto"/>
                      <w:szCs w:val="21"/>
                      <w:lang w:val="en-US" w:eastAsia="zh-CN"/>
                    </w:rPr>
                    <w:t>。</w:t>
                  </w:r>
                </w:p>
              </w:tc>
              <w:tc>
                <w:tcPr>
                  <w:tcW w:w="705" w:type="pct"/>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95" w:beforeLines="30" w:line="360" w:lineRule="auto"/>
              <w:ind w:right="0" w:firstLine="420" w:firstLineChars="200"/>
              <w:textAlignment w:val="auto"/>
              <w:rPr>
                <w:rFonts w:hint="default" w:ascii="Times New Roman" w:hAnsi="Times New Roman" w:cs="Times New Roman"/>
                <w:color w:val="auto"/>
                <w:kern w:val="0"/>
                <w:szCs w:val="21"/>
              </w:rPr>
            </w:pPr>
            <w:r>
              <w:rPr>
                <w:rFonts w:hint="eastAsia" w:cs="Times New Roman"/>
                <w:color w:val="auto"/>
                <w:lang w:eastAsia="zh-CN"/>
              </w:rPr>
              <w:t>本项目</w:t>
            </w:r>
            <w:r>
              <w:rPr>
                <w:rFonts w:hint="default" w:ascii="Times New Roman" w:hAnsi="Times New Roman" w:cs="Times New Roman"/>
                <w:color w:val="auto"/>
              </w:rPr>
              <w:t>与规划环评及审查意见中的相关要求基本符合。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4021" w:type="pct"/>
            <w:gridSpan w:val="3"/>
            <w:noWrap w:val="0"/>
            <w:vAlign w:val="center"/>
          </w:tcPr>
          <w:p>
            <w:pPr>
              <w:pStyle w:val="4"/>
              <w:keepNext/>
              <w:keepLines w:val="0"/>
              <w:pageBreakBefore w:val="0"/>
              <w:widowControl w:val="0"/>
              <w:kinsoku/>
              <w:wordWrap/>
              <w:overflowPunct/>
              <w:topLinePunct w:val="0"/>
              <w:autoSpaceDE/>
              <w:autoSpaceDN/>
              <w:bidi w:val="0"/>
              <w:adjustRightInd w:val="0"/>
              <w:snapToGrid w:val="0"/>
              <w:spacing w:before="251" w:beforeLines="80" w:after="251" w:afterLines="80" w:line="240" w:lineRule="auto"/>
              <w:textAlignment w:val="auto"/>
              <w:rPr>
                <w:rFonts w:hint="eastAsia" w:ascii="宋体" w:hAnsi="宋体" w:eastAsia="宋体" w:cs="宋体"/>
                <w:b/>
                <w:bCs/>
                <w:color w:val="auto"/>
              </w:rPr>
            </w:pPr>
            <w:bookmarkStart w:id="21" w:name="_Toc10828"/>
            <w:bookmarkStart w:id="22" w:name="_Toc27201"/>
            <w:bookmarkStart w:id="23" w:name="_Toc12737"/>
            <w:bookmarkStart w:id="24" w:name="_Toc68638111"/>
            <w:bookmarkStart w:id="25" w:name="_Toc4897"/>
            <w:bookmarkStart w:id="26" w:name="_Toc19592"/>
            <w:r>
              <w:rPr>
                <w:rFonts w:hint="eastAsia" w:ascii="宋体" w:hAnsi="宋体" w:eastAsia="宋体" w:cs="宋体"/>
                <w:b/>
                <w:bCs/>
                <w:color w:val="auto"/>
                <w:lang w:val="en-US" w:eastAsia="zh-CN"/>
              </w:rPr>
              <w:t>一、</w:t>
            </w:r>
            <w:r>
              <w:rPr>
                <w:rFonts w:hint="eastAsia" w:ascii="宋体" w:hAnsi="宋体" w:eastAsia="宋体" w:cs="宋体"/>
                <w:b/>
                <w:bCs/>
                <w:color w:val="auto"/>
              </w:rPr>
              <w:t>产业政策符合性分析</w:t>
            </w:r>
            <w:bookmarkEnd w:id="21"/>
            <w:bookmarkEnd w:id="22"/>
            <w:bookmarkEnd w:id="23"/>
            <w:bookmarkEnd w:id="24"/>
            <w:bookmarkEnd w:id="25"/>
            <w:bookmarkEnd w:id="26"/>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0"/>
                <w:sz w:val="24"/>
                <w:highlight w:val="none"/>
                <w:lang w:val="en-US" w:eastAsia="zh-CN"/>
              </w:rPr>
              <w:t>本项目</w:t>
            </w:r>
            <w:r>
              <w:rPr>
                <w:rFonts w:hint="default" w:ascii="Times New Roman" w:hAnsi="Times New Roman" w:cs="Times New Roman"/>
                <w:color w:val="auto"/>
                <w:kern w:val="0"/>
                <w:sz w:val="24"/>
                <w:lang w:val="en-US" w:eastAsia="zh-CN"/>
              </w:rPr>
              <w:t>的建设内容为采用破碎--筛分--搅拌生产工艺，以青拓集团精炼渣磁选铁精矿后的钢渣为原料，形成年产12万吨钢渣细粉和138万吨路基垫层规模</w:t>
            </w:r>
            <w:r>
              <w:rPr>
                <w:rFonts w:hint="eastAsia" w:cs="Times New Roman"/>
                <w:color w:val="auto"/>
                <w:kern w:val="0"/>
                <w:sz w:val="24"/>
                <w:lang w:val="en-US" w:eastAsia="zh-CN"/>
              </w:rPr>
              <w:t>。</w:t>
            </w:r>
            <w:r>
              <w:rPr>
                <w:rFonts w:hint="default" w:ascii="Times New Roman" w:hAnsi="Times New Roman" w:cs="Times New Roman"/>
                <w:color w:val="auto"/>
                <w:sz w:val="24"/>
                <w:szCs w:val="24"/>
                <w:lang w:val="en-US" w:eastAsia="zh-CN"/>
              </w:rPr>
              <w:t>属于《产业结构调整指导目录（2019 年本）》中鼓励类</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四十三、环境保护与资源节约综合利用，25、尾矿、废渣等资源综合利用及配套装备制造</w:t>
            </w:r>
            <w:r>
              <w:rPr>
                <w:rFonts w:hint="eastAsia" w:cs="Times New Roman"/>
                <w:color w:val="auto"/>
                <w:sz w:val="24"/>
                <w:szCs w:val="24"/>
                <w:lang w:val="en-US" w:eastAsia="zh-CN"/>
              </w:rPr>
              <w:t>”。</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本项目将公司原有已经停用的机制砂生产线</w:t>
            </w:r>
            <w:r>
              <w:rPr>
                <w:rFonts w:hint="default" w:ascii="Times New Roman" w:hAnsi="Times New Roman" w:cs="Times New Roman"/>
                <w:color w:val="auto"/>
                <w:sz w:val="24"/>
                <w:szCs w:val="24"/>
                <w:lang w:val="en-US" w:eastAsia="zh-CN"/>
              </w:rPr>
              <w:t>进行技术改造，</w:t>
            </w:r>
            <w:r>
              <w:rPr>
                <w:rFonts w:hint="eastAsia" w:cs="Times New Roman"/>
                <w:color w:val="auto"/>
                <w:sz w:val="24"/>
                <w:szCs w:val="24"/>
                <w:lang w:val="en-US" w:eastAsia="zh-CN"/>
              </w:rPr>
              <w:t>利用其场地建设一条钢渣综合利用</w:t>
            </w:r>
            <w:r>
              <w:rPr>
                <w:rFonts w:hint="eastAsia" w:ascii="Times New Roman" w:hAnsi="Times New Roman" w:cs="Times New Roman"/>
                <w:color w:val="auto"/>
                <w:sz w:val="24"/>
                <w:szCs w:val="24"/>
                <w:lang w:val="en-US" w:eastAsia="zh-CN"/>
              </w:rPr>
              <w:t>生产线</w:t>
            </w:r>
            <w:r>
              <w:rPr>
                <w:rFonts w:hint="eastAsia" w:cs="Times New Roman"/>
                <w:color w:val="auto"/>
                <w:sz w:val="24"/>
                <w:szCs w:val="24"/>
                <w:lang w:val="en-US" w:eastAsia="zh-CN"/>
              </w:rPr>
              <w:t>，生产路基垫层138t/a和钢渣细粉12t/a</w:t>
            </w:r>
            <w:r>
              <w:rPr>
                <w:rFonts w:hint="default" w:ascii="Times New Roman" w:hAnsi="Times New Roman" w:cs="Times New Roman"/>
                <w:color w:val="auto"/>
                <w:sz w:val="24"/>
                <w:szCs w:val="24"/>
                <w:lang w:val="en-US" w:eastAsia="zh-CN"/>
              </w:rPr>
              <w:t>。</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本项目备案证明（闽工信备【2023】J020047号），见附件二，</w:t>
            </w:r>
            <w:r>
              <w:rPr>
                <w:rFonts w:hint="default" w:ascii="Times New Roman" w:hAnsi="Times New Roman" w:cs="Times New Roman"/>
                <w:color w:val="auto"/>
                <w:sz w:val="24"/>
                <w:szCs w:val="24"/>
                <w:highlight w:val="none"/>
                <w:lang w:val="en-US" w:eastAsia="zh-CN"/>
              </w:rPr>
              <w:t>符合国家产业政策。</w:t>
            </w:r>
          </w:p>
          <w:p>
            <w:pPr>
              <w:pStyle w:val="4"/>
              <w:keepNext/>
              <w:keepLines w:val="0"/>
              <w:pageBreakBefore w:val="0"/>
              <w:widowControl w:val="0"/>
              <w:kinsoku/>
              <w:wordWrap/>
              <w:overflowPunct/>
              <w:topLinePunct w:val="0"/>
              <w:autoSpaceDE/>
              <w:autoSpaceDN/>
              <w:bidi w:val="0"/>
              <w:adjustRightInd w:val="0"/>
              <w:snapToGrid w:val="0"/>
              <w:spacing w:before="251" w:beforeLines="80" w:after="251" w:afterLines="80" w:line="240" w:lineRule="auto"/>
              <w:textAlignment w:val="auto"/>
              <w:rPr>
                <w:rFonts w:hint="default" w:ascii="宋体" w:hAnsi="宋体" w:eastAsia="宋体" w:cs="宋体"/>
                <w:b/>
                <w:bCs/>
                <w:color w:val="auto"/>
                <w:lang w:val="en-US" w:eastAsia="zh-CN"/>
              </w:rPr>
            </w:pPr>
            <w:bookmarkStart w:id="27" w:name="_Toc28401"/>
            <w:bookmarkStart w:id="28" w:name="_Toc2748"/>
            <w:r>
              <w:rPr>
                <w:rFonts w:hint="default" w:ascii="宋体" w:hAnsi="宋体" w:eastAsia="宋体" w:cs="宋体"/>
                <w:b/>
                <w:bCs/>
                <w:color w:val="auto"/>
                <w:lang w:val="en-US" w:eastAsia="zh-CN"/>
              </w:rPr>
              <w:t>二、选址合理性分析</w:t>
            </w:r>
            <w:bookmarkEnd w:id="27"/>
            <w:bookmarkEnd w:id="28"/>
          </w:p>
          <w:p>
            <w:pPr>
              <w:pStyle w:val="80"/>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项目建设用地位</w:t>
            </w:r>
            <w:r>
              <w:rPr>
                <w:rFonts w:hint="default" w:ascii="Times New Roman" w:hAnsi="Times New Roman" w:cs="Times New Roman"/>
                <w:color w:val="auto"/>
                <w:sz w:val="24"/>
                <w:lang w:val="en-US" w:eastAsia="zh-CN"/>
              </w:rPr>
              <w:t>福安市青拓环保建材有限公司厂区内</w:t>
            </w:r>
            <w:r>
              <w:rPr>
                <w:rFonts w:hint="default" w:ascii="Times New Roman" w:hAnsi="Times New Roman" w:eastAsia="宋体" w:cs="Times New Roman"/>
                <w:snapToGrid w:val="0"/>
                <w:color w:val="auto"/>
                <w:kern w:val="0"/>
                <w:highlight w:val="none"/>
                <w:lang w:val="en-US" w:eastAsia="zh-CN"/>
              </w:rPr>
              <w:t>，用地面积</w:t>
            </w:r>
            <w:r>
              <w:rPr>
                <w:rFonts w:hint="eastAsia" w:ascii="Times New Roman" w:hAnsi="Times New Roman" w:cs="Times New Roman"/>
                <w:snapToGrid w:val="0"/>
                <w:color w:val="auto"/>
                <w:kern w:val="0"/>
                <w:highlight w:val="none"/>
                <w:lang w:val="en-US" w:eastAsia="zh-CN"/>
              </w:rPr>
              <w:t>20</w:t>
            </w:r>
            <w:r>
              <w:rPr>
                <w:rFonts w:hint="default" w:ascii="Times New Roman" w:hAnsi="Times New Roman" w:eastAsia="宋体" w:cs="Times New Roman"/>
                <w:snapToGrid w:val="0"/>
                <w:color w:val="auto"/>
                <w:kern w:val="0"/>
                <w:highlight w:val="none"/>
                <w:lang w:val="en-US" w:eastAsia="zh-CN"/>
              </w:rPr>
              <w:t>00m</w:t>
            </w:r>
            <w:r>
              <w:rPr>
                <w:rFonts w:hint="default" w:ascii="Times New Roman" w:hAnsi="Times New Roman" w:eastAsia="宋体" w:cs="Times New Roman"/>
                <w:snapToGrid w:val="0"/>
                <w:color w:val="auto"/>
                <w:kern w:val="0"/>
                <w:highlight w:val="none"/>
                <w:vertAlign w:val="superscript"/>
                <w:lang w:val="en-US" w:eastAsia="zh-CN"/>
              </w:rPr>
              <w:t>2</w:t>
            </w:r>
            <w:r>
              <w:rPr>
                <w:rFonts w:hint="default" w:ascii="Times New Roman" w:hAnsi="Times New Roman" w:eastAsia="宋体" w:cs="Times New Roman"/>
                <w:snapToGrid w:val="0"/>
                <w:color w:val="auto"/>
                <w:kern w:val="0"/>
                <w:highlight w:val="none"/>
                <w:lang w:val="en-US" w:eastAsia="zh-CN"/>
              </w:rPr>
              <w:t>，根据闽（20</w:t>
            </w:r>
            <w:r>
              <w:rPr>
                <w:rFonts w:hint="eastAsia" w:ascii="Times New Roman" w:hAnsi="Times New Roman" w:cs="Times New Roman"/>
                <w:snapToGrid w:val="0"/>
                <w:color w:val="auto"/>
                <w:kern w:val="0"/>
                <w:highlight w:val="none"/>
                <w:lang w:val="en-US" w:eastAsia="zh-CN"/>
              </w:rPr>
              <w:t>21</w:t>
            </w:r>
            <w:r>
              <w:rPr>
                <w:rFonts w:hint="default" w:ascii="Times New Roman" w:hAnsi="Times New Roman" w:eastAsia="宋体" w:cs="Times New Roman"/>
                <w:snapToGrid w:val="0"/>
                <w:color w:val="auto"/>
                <w:kern w:val="0"/>
                <w:highlight w:val="none"/>
                <w:lang w:val="en-US" w:eastAsia="zh-CN"/>
              </w:rPr>
              <w:t>）福安市不动产权第0003223号</w:t>
            </w:r>
            <w:r>
              <w:rPr>
                <w:rFonts w:hint="eastAsia" w:ascii="Times New Roman" w:hAnsi="Times New Roman" w:cs="Times New Roman"/>
                <w:snapToGrid w:val="0"/>
                <w:color w:val="auto"/>
                <w:kern w:val="0"/>
                <w:highlight w:val="none"/>
                <w:lang w:val="en-US" w:eastAsia="zh-CN"/>
              </w:rPr>
              <w:t>（</w:t>
            </w:r>
            <w:r>
              <w:rPr>
                <w:rFonts w:hint="default" w:ascii="Times New Roman" w:hAnsi="Times New Roman" w:eastAsia="宋体" w:cs="Times New Roman"/>
                <w:snapToGrid w:val="0"/>
                <w:color w:val="auto"/>
                <w:kern w:val="0"/>
                <w:highlight w:val="none"/>
                <w:lang w:val="en-US" w:eastAsia="zh-CN"/>
              </w:rPr>
              <w:t>附件</w:t>
            </w:r>
            <w:r>
              <w:rPr>
                <w:rFonts w:hint="eastAsia" w:ascii="Times New Roman" w:hAnsi="Times New Roman" w:cs="Times New Roman"/>
                <w:snapToGrid w:val="0"/>
                <w:color w:val="auto"/>
                <w:kern w:val="0"/>
                <w:highlight w:val="none"/>
                <w:lang w:val="en-US" w:eastAsia="zh-CN"/>
              </w:rPr>
              <w:t>五），</w:t>
            </w:r>
            <w:r>
              <w:rPr>
                <w:rFonts w:hint="default" w:ascii="Times New Roman" w:hAnsi="Times New Roman" w:eastAsia="宋体" w:cs="Times New Roman"/>
                <w:snapToGrid w:val="0"/>
                <w:color w:val="auto"/>
                <w:kern w:val="0"/>
                <w:highlight w:val="none"/>
                <w:lang w:val="en-US" w:eastAsia="zh-CN"/>
              </w:rPr>
              <w:t>本项目用地性质为工业用地，选址符合规划要求。</w:t>
            </w:r>
          </w:p>
          <w:p>
            <w:pPr>
              <w:pStyle w:val="4"/>
              <w:keepNext/>
              <w:keepLines w:val="0"/>
              <w:pageBreakBefore w:val="0"/>
              <w:widowControl w:val="0"/>
              <w:kinsoku/>
              <w:wordWrap/>
              <w:overflowPunct/>
              <w:topLinePunct w:val="0"/>
              <w:autoSpaceDE/>
              <w:autoSpaceDN/>
              <w:bidi w:val="0"/>
              <w:adjustRightInd w:val="0"/>
              <w:snapToGrid w:val="0"/>
              <w:spacing w:before="251" w:beforeLines="80" w:after="251" w:afterLines="80" w:line="240" w:lineRule="auto"/>
              <w:textAlignment w:val="auto"/>
              <w:rPr>
                <w:rFonts w:hint="default" w:ascii="宋体" w:hAnsi="宋体" w:eastAsia="宋体" w:cs="宋体"/>
                <w:b/>
                <w:bCs/>
                <w:color w:val="auto"/>
                <w:lang w:val="en-US" w:eastAsia="zh-CN"/>
              </w:rPr>
            </w:pPr>
            <w:bookmarkStart w:id="29" w:name="_Toc4973"/>
            <w:bookmarkStart w:id="30" w:name="_Toc14483"/>
            <w:bookmarkStart w:id="31" w:name="_Toc524"/>
            <w:bookmarkStart w:id="32" w:name="_Toc22818"/>
            <w:bookmarkStart w:id="33" w:name="_Toc2952"/>
            <w:bookmarkStart w:id="34" w:name="_Toc68638112"/>
            <w:r>
              <w:rPr>
                <w:rFonts w:hint="default" w:ascii="宋体" w:hAnsi="宋体" w:eastAsia="宋体" w:cs="宋体"/>
                <w:b/>
                <w:bCs/>
                <w:color w:val="auto"/>
                <w:lang w:val="en-US" w:eastAsia="zh-CN"/>
              </w:rPr>
              <w:t>三、环境功能相容性分析</w:t>
            </w:r>
            <w:bookmarkEnd w:id="29"/>
            <w:bookmarkEnd w:id="30"/>
            <w:bookmarkEnd w:id="31"/>
            <w:bookmarkEnd w:id="32"/>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项目区域大气环境属二类功能区，大气环境质量符合《环境空气质量标准》（GB3095-2012）中的二级标准；项目</w:t>
            </w:r>
            <w:r>
              <w:rPr>
                <w:rFonts w:hint="eastAsia" w:ascii="Times New Roman" w:hAnsi="Times New Roman" w:eastAsia="宋体" w:cs="Times New Roman"/>
                <w:color w:val="auto"/>
                <w:kern w:val="0"/>
                <w:sz w:val="24"/>
                <w:highlight w:val="none"/>
                <w:lang w:val="en-US" w:eastAsia="zh-CN"/>
              </w:rPr>
              <w:t>所在</w:t>
            </w:r>
            <w:r>
              <w:rPr>
                <w:rFonts w:hint="default" w:ascii="Times New Roman" w:hAnsi="Times New Roman" w:eastAsia="宋体" w:cs="Times New Roman"/>
                <w:color w:val="auto"/>
                <w:kern w:val="0"/>
                <w:sz w:val="24"/>
                <w:highlight w:val="none"/>
                <w:lang w:val="en-US" w:eastAsia="zh-CN"/>
              </w:rPr>
              <w:t>区域“白马港东侧四类区（FJ015-D-Ⅲ）”，主导功能为港口和纳污，该区划内海水水质执行《海水水质标准》（GB3097-1997）的第三类标准，海域沉积物执行《海洋沉积物质量》（GB18668-2002）第二类标准；项目区域声环境划定为3类功能区，环境噪声执行《声环境质量标准》（GB3096-2008）中的3类标准。</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color w:val="auto"/>
                <w:kern w:val="0"/>
                <w:sz w:val="24"/>
                <w:highlight w:val="none"/>
                <w:lang w:val="en-US" w:eastAsia="zh-CN"/>
              </w:rPr>
              <w:t>该项目选址不属于环境功能区划需要特别保护的区域，符合当地环境功能区划的要求。</w:t>
            </w:r>
          </w:p>
          <w:bookmarkEnd w:id="33"/>
          <w:bookmarkEnd w:id="34"/>
          <w:p>
            <w:pPr>
              <w:pStyle w:val="4"/>
              <w:keepNext/>
              <w:keepLines w:val="0"/>
              <w:pageBreakBefore w:val="0"/>
              <w:widowControl w:val="0"/>
              <w:kinsoku/>
              <w:wordWrap/>
              <w:overflowPunct/>
              <w:topLinePunct w:val="0"/>
              <w:autoSpaceDE/>
              <w:autoSpaceDN/>
              <w:bidi w:val="0"/>
              <w:adjustRightInd w:val="0"/>
              <w:snapToGrid w:val="0"/>
              <w:spacing w:before="251" w:beforeLines="80" w:after="251" w:afterLines="80" w:line="240" w:lineRule="auto"/>
              <w:textAlignment w:val="auto"/>
              <w:rPr>
                <w:rFonts w:hint="default" w:ascii="宋体" w:hAnsi="宋体" w:eastAsia="宋体" w:cs="宋体"/>
                <w:b/>
                <w:bCs/>
                <w:color w:val="auto"/>
                <w:lang w:val="en-US" w:eastAsia="zh-CN"/>
              </w:rPr>
            </w:pPr>
            <w:bookmarkStart w:id="35" w:name="_Toc2024"/>
            <w:bookmarkStart w:id="36" w:name="_Toc7425"/>
            <w:r>
              <w:rPr>
                <w:rFonts w:hint="default" w:ascii="宋体" w:hAnsi="宋体" w:eastAsia="宋体" w:cs="宋体"/>
                <w:b/>
                <w:bCs/>
                <w:color w:val="auto"/>
                <w:lang w:val="en-US" w:eastAsia="zh-CN"/>
              </w:rPr>
              <w:t>四、“三线一单”控制要求符合性分析</w:t>
            </w:r>
            <w:bookmarkEnd w:id="35"/>
            <w:bookmarkEnd w:id="36"/>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szCs w:val="24"/>
                <w:lang w:val="en-US" w:eastAsia="zh-CN"/>
              </w:rPr>
              <w:t>“三线一单”是指“生态保护红线、环境质量底线、资源利用上线和环境准入负面清单”。根据《宁德市人民政府关于印发宁德市“三线一单”生态环境分区管控方案的通知》（宁政[2021]11号）</w:t>
            </w:r>
            <w:r>
              <w:rPr>
                <w:rFonts w:hint="eastAsia" w:cs="Times New Roman"/>
                <w:color w:val="auto"/>
                <w:sz w:val="24"/>
                <w:szCs w:val="24"/>
                <w:lang w:val="en-US" w:eastAsia="zh-CN"/>
              </w:rPr>
              <w:t>，</w:t>
            </w:r>
            <w:r>
              <w:rPr>
                <w:rFonts w:hint="default" w:ascii="Times New Roman" w:hAnsi="Times New Roman" w:cs="Times New Roman"/>
                <w:color w:val="auto"/>
                <w:sz w:val="24"/>
                <w:lang w:val="en-US" w:eastAsia="zh-CN"/>
              </w:rPr>
              <w:t>福安市青拓环保建材有限公司</w:t>
            </w:r>
            <w:r>
              <w:rPr>
                <w:rFonts w:hint="eastAsia" w:cs="Times New Roman"/>
                <w:color w:val="auto"/>
                <w:sz w:val="24"/>
                <w:lang w:val="en-US" w:eastAsia="zh-CN"/>
              </w:rPr>
              <w:t>钢渣综合利用技改项目</w:t>
            </w:r>
            <w:r>
              <w:rPr>
                <w:rFonts w:hint="default" w:ascii="Times New Roman" w:hAnsi="Times New Roman" w:cs="Times New Roman"/>
                <w:color w:val="auto"/>
                <w:sz w:val="24"/>
                <w:szCs w:val="24"/>
                <w:lang w:val="en-US" w:eastAsia="zh-CN"/>
              </w:rPr>
              <w:t>“三线一单”符合性分析情况见表1.2-1。</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4"/>
              <w:rPr>
                <w:rFonts w:hint="default" w:ascii="Times New Roman" w:hAnsi="Times New Roman" w:eastAsia="宋体" w:cs="Times New Roman"/>
                <w:b/>
                <w:bCs/>
                <w:color w:val="auto"/>
                <w:sz w:val="24"/>
                <w:szCs w:val="24"/>
              </w:rPr>
            </w:pPr>
            <w:bookmarkStart w:id="37" w:name="_Toc7679"/>
            <w:r>
              <w:rPr>
                <w:rFonts w:hint="default" w:ascii="Times New Roman" w:hAnsi="Times New Roman" w:eastAsia="宋体" w:cs="Times New Roman"/>
                <w:b/>
                <w:bCs/>
                <w:color w:val="auto"/>
                <w:sz w:val="24"/>
                <w:szCs w:val="24"/>
              </w:rPr>
              <w:t>表1.2-1  建设项目“三线一单”符合性分析表</w:t>
            </w:r>
            <w:bookmarkEnd w:id="37"/>
          </w:p>
          <w:tbl>
            <w:tblPr>
              <w:tblStyle w:val="33"/>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6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09" w:type="pct"/>
                  <w:noWrap w:val="0"/>
                  <w:tcMar>
                    <w:top w:w="0" w:type="dxa"/>
                    <w:left w:w="6" w:type="dxa"/>
                    <w:bottom w:w="0" w:type="dxa"/>
                    <w:right w:w="6" w:type="dxa"/>
                  </w:tcMar>
                  <w:vAlign w:val="center"/>
                </w:tcPr>
                <w:p>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内容</w:t>
                  </w:r>
                </w:p>
              </w:tc>
              <w:tc>
                <w:tcPr>
                  <w:tcW w:w="4490" w:type="pct"/>
                  <w:noWrap w:val="0"/>
                  <w:tcMar>
                    <w:top w:w="0" w:type="dxa"/>
                    <w:bottom w:w="0" w:type="dxa"/>
                  </w:tcMar>
                  <w:vAlign w:val="center"/>
                </w:tcPr>
                <w:p>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noWrap w:val="0"/>
                  <w:tcMar>
                    <w:top w:w="0" w:type="dxa"/>
                    <w:left w:w="6" w:type="dxa"/>
                    <w:bottom w:w="0" w:type="dxa"/>
                    <w:right w:w="6" w:type="dxa"/>
                  </w:tcMar>
                  <w:vAlign w:val="center"/>
                </w:tcPr>
                <w:p>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生态保护红线</w:t>
                  </w:r>
                </w:p>
              </w:tc>
              <w:tc>
                <w:tcPr>
                  <w:tcW w:w="4490" w:type="pct"/>
                  <w:noWrap w:val="0"/>
                  <w:tcMar>
                    <w:top w:w="0" w:type="dxa"/>
                    <w:bottom w:w="0" w:type="dxa"/>
                  </w:tcMar>
                  <w:vAlign w:val="center"/>
                </w:tcPr>
                <w:p>
                  <w:pPr>
                    <w:spacing w:line="280" w:lineRule="exact"/>
                    <w:rPr>
                      <w:rFonts w:hint="default" w:ascii="Times New Roman" w:hAnsi="Times New Roman" w:cs="Times New Roman"/>
                      <w:color w:val="auto"/>
                    </w:rPr>
                  </w:pPr>
                  <w:r>
                    <w:rPr>
                      <w:rFonts w:hint="default" w:ascii="Times New Roman" w:hAnsi="Times New Roman" w:cs="Times New Roman"/>
                      <w:color w:val="auto"/>
                    </w:rPr>
                    <w:t>青拓集团已于湾坞西片区打造冶金新材料产业园</w:t>
                  </w:r>
                  <w:r>
                    <w:rPr>
                      <w:rFonts w:hint="eastAsia" w:cs="Times New Roman"/>
                      <w:color w:val="auto"/>
                      <w:lang w:eastAsia="zh-CN"/>
                    </w:rPr>
                    <w:t>，</w:t>
                  </w:r>
                  <w:r>
                    <w:rPr>
                      <w:rFonts w:hint="default" w:ascii="Times New Roman" w:hAnsi="Times New Roman" w:cs="Times New Roman"/>
                      <w:color w:val="auto"/>
                    </w:rPr>
                    <w:t>建设项目位于</w:t>
                  </w:r>
                  <w:r>
                    <w:rPr>
                      <w:rFonts w:hint="eastAsia" w:cs="Times New Roman"/>
                      <w:color w:val="auto"/>
                      <w:lang w:val="en-US" w:eastAsia="zh-CN"/>
                    </w:rPr>
                    <w:t>福安市</w:t>
                  </w:r>
                  <w:r>
                    <w:rPr>
                      <w:rFonts w:hint="default" w:ascii="Times New Roman" w:hAnsi="Times New Roman" w:cs="Times New Roman"/>
                      <w:color w:val="auto"/>
                    </w:rPr>
                    <w:t>冶金新材料产业园内，周边无自然保护区、饮用水源保护区等生态保护目标。</w:t>
                  </w:r>
                  <w:r>
                    <w:rPr>
                      <w:rFonts w:hint="default" w:ascii="Times New Roman" w:hAnsi="Times New Roman" w:cs="Times New Roman"/>
                      <w:color w:val="auto"/>
                      <w:lang w:val="en-US" w:eastAsia="zh-CN"/>
                    </w:rPr>
                    <w:t>项目建设区未涉及生态保护红线，因此，项目建设与生态保护红线管控要求不冲突。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noWrap w:val="0"/>
                  <w:tcMar>
                    <w:top w:w="0" w:type="dxa"/>
                    <w:left w:w="6" w:type="dxa"/>
                    <w:bottom w:w="0" w:type="dxa"/>
                    <w:right w:w="6" w:type="dxa"/>
                  </w:tcMar>
                  <w:vAlign w:val="center"/>
                </w:tcPr>
                <w:p>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资源利用上线</w:t>
                  </w:r>
                </w:p>
              </w:tc>
              <w:tc>
                <w:tcPr>
                  <w:tcW w:w="4490" w:type="pct"/>
                  <w:noWrap w:val="0"/>
                  <w:tcMar>
                    <w:top w:w="0" w:type="dxa"/>
                    <w:bottom w:w="0" w:type="dxa"/>
                  </w:tcMar>
                  <w:vAlign w:val="center"/>
                </w:tcPr>
                <w:p>
                  <w:pPr>
                    <w:spacing w:line="280" w:lineRule="exact"/>
                    <w:rPr>
                      <w:rFonts w:hint="default" w:ascii="Times New Roman" w:hAnsi="Times New Roman" w:cs="Times New Roman"/>
                      <w:color w:val="auto"/>
                    </w:rPr>
                  </w:pPr>
                  <w:r>
                    <w:rPr>
                      <w:rFonts w:hint="default" w:ascii="Times New Roman" w:hAnsi="Times New Roman" w:cs="Times New Roman"/>
                      <w:color w:val="auto"/>
                    </w:rPr>
                    <w:t>建设项目营运过程中消耗一定量的水资源、电资源、土地资源等。项目所用水、电资源较少。生产废水全部循环使用不外排。项目用地为</w:t>
                  </w:r>
                  <w:r>
                    <w:rPr>
                      <w:rFonts w:hint="eastAsia" w:cs="Times New Roman"/>
                      <w:color w:val="auto"/>
                      <w:lang w:val="en-US" w:eastAsia="zh-CN"/>
                    </w:rPr>
                    <w:t>福安市</w:t>
                  </w:r>
                  <w:r>
                    <w:rPr>
                      <w:rFonts w:hint="default" w:ascii="Times New Roman" w:hAnsi="Times New Roman" w:cs="Times New Roman"/>
                      <w:color w:val="auto"/>
                    </w:rPr>
                    <w:t>湾坞西片区冶金新材料产业园工业用地。综上，项目的资源消耗量相对区域资源利用总量较少。建设项目</w:t>
                  </w:r>
                  <w:r>
                    <w:rPr>
                      <w:rFonts w:hint="default" w:ascii="Times New Roman" w:hAnsi="Times New Roman" w:eastAsia="宋体" w:cs="Times New Roman"/>
                      <w:snapToGrid w:val="0"/>
                      <w:color w:val="auto"/>
                      <w:kern w:val="0"/>
                      <w:highlight w:val="none"/>
                      <w:lang w:val="en-US" w:eastAsia="zh-CN"/>
                    </w:rPr>
                    <w:t>使用电能等清洁能源，符合区域资源利用上线。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noWrap w:val="0"/>
                  <w:tcMar>
                    <w:top w:w="0" w:type="dxa"/>
                    <w:left w:w="6" w:type="dxa"/>
                    <w:bottom w:w="0" w:type="dxa"/>
                    <w:right w:w="6" w:type="dxa"/>
                  </w:tcMar>
                  <w:vAlign w:val="center"/>
                </w:tcPr>
                <w:p>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环境质量底线</w:t>
                  </w:r>
                </w:p>
              </w:tc>
              <w:tc>
                <w:tcPr>
                  <w:tcW w:w="4490" w:type="pct"/>
                  <w:noWrap w:val="0"/>
                  <w:tcMar>
                    <w:top w:w="0" w:type="dxa"/>
                    <w:bottom w:w="0" w:type="dxa"/>
                  </w:tcMar>
                  <w:vAlign w:val="center"/>
                </w:tcPr>
                <w:p>
                  <w:pPr>
                    <w:spacing w:line="280" w:lineRule="exact"/>
                    <w:rPr>
                      <w:rFonts w:hint="default" w:ascii="Times New Roman" w:hAnsi="Times New Roman" w:cs="Times New Roman"/>
                      <w:color w:val="auto"/>
                    </w:rPr>
                  </w:pPr>
                  <w:r>
                    <w:rPr>
                      <w:rFonts w:hint="default" w:ascii="Times New Roman" w:hAnsi="Times New Roman" w:cs="Times New Roman"/>
                      <w:color w:val="auto"/>
                    </w:rPr>
                    <w:t>根据环境现状监测及调查结果，建设项目所在区域的地表水环境、环境空气质量、声环境质量等均能满足相应的标准要求，建设项目的废水、废气等经治理后达标排放，对周围环境影响较小。建设项目不触及环境质量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noWrap w:val="0"/>
                  <w:tcMar>
                    <w:top w:w="0" w:type="dxa"/>
                    <w:left w:w="6" w:type="dxa"/>
                    <w:bottom w:w="0" w:type="dxa"/>
                    <w:right w:w="6" w:type="dxa"/>
                  </w:tcMar>
                  <w:vAlign w:val="center"/>
                </w:tcPr>
                <w:p>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负面</w:t>
                  </w:r>
                </w:p>
                <w:p>
                  <w:pPr>
                    <w:spacing w:line="280" w:lineRule="exact"/>
                    <w:jc w:val="center"/>
                    <w:rPr>
                      <w:rFonts w:hint="default" w:ascii="Times New Roman" w:hAnsi="Times New Roman" w:cs="Times New Roman"/>
                      <w:color w:val="auto"/>
                    </w:rPr>
                  </w:pPr>
                  <w:r>
                    <w:rPr>
                      <w:rFonts w:hint="default" w:ascii="Times New Roman" w:hAnsi="Times New Roman" w:cs="Times New Roman"/>
                      <w:color w:val="auto"/>
                    </w:rPr>
                    <w:t>清单</w:t>
                  </w:r>
                </w:p>
              </w:tc>
              <w:tc>
                <w:tcPr>
                  <w:tcW w:w="4490" w:type="pct"/>
                  <w:noWrap w:val="0"/>
                  <w:tcMar>
                    <w:top w:w="0" w:type="dxa"/>
                    <w:bottom w:w="0" w:type="dxa"/>
                  </w:tcMar>
                  <w:vAlign w:val="center"/>
                </w:tcPr>
                <w:p>
                  <w:pPr>
                    <w:spacing w:line="280" w:lineRule="exact"/>
                    <w:rPr>
                      <w:rFonts w:hint="default" w:ascii="Times New Roman" w:hAnsi="Times New Roman" w:cs="Times New Roman"/>
                      <w:color w:val="auto"/>
                    </w:rPr>
                  </w:pPr>
                  <w:r>
                    <w:rPr>
                      <w:rFonts w:hint="default" w:ascii="Times New Roman" w:hAnsi="Times New Roman" w:eastAsia="宋体" w:cs="Times New Roman"/>
                      <w:snapToGrid w:val="0"/>
                      <w:color w:val="auto"/>
                      <w:kern w:val="0"/>
                      <w:highlight w:val="none"/>
                      <w:lang w:val="en-US" w:eastAsia="zh-CN"/>
                    </w:rPr>
                    <w:t>本项目所在地属于福安市重点管控单元1（ZH385098120005）</w:t>
                  </w:r>
                  <w:r>
                    <w:rPr>
                      <w:rFonts w:hint="eastAsia" w:ascii="Times New Roman" w:hAnsi="Times New Roman" w:eastAsia="宋体" w:cs="Times New Roman"/>
                      <w:snapToGrid w:val="0"/>
                      <w:color w:val="auto"/>
                      <w:kern w:val="0"/>
                      <w:highlight w:val="none"/>
                      <w:lang w:val="en-US" w:eastAsia="zh-CN"/>
                    </w:rPr>
                    <w:t>，</w:t>
                  </w:r>
                  <w:r>
                    <w:rPr>
                      <w:rFonts w:hint="default" w:ascii="Times New Roman" w:hAnsi="Times New Roman" w:eastAsia="宋体" w:cs="Times New Roman"/>
                      <w:snapToGrid w:val="0"/>
                      <w:color w:val="auto"/>
                      <w:kern w:val="0"/>
                      <w:highlight w:val="none"/>
                      <w:lang w:val="en-US" w:eastAsia="zh-CN"/>
                    </w:rPr>
                    <w:t>项目不属于负面清单中的排放氮、磷废水污染物工业项目</w:t>
                  </w:r>
                  <w:r>
                    <w:rPr>
                      <w:rFonts w:hint="eastAsia" w:ascii="Times New Roman" w:hAnsi="Times New Roman" w:eastAsia="宋体" w:cs="Times New Roman"/>
                      <w:snapToGrid w:val="0"/>
                      <w:color w:val="auto"/>
                      <w:kern w:val="0"/>
                      <w:highlight w:val="none"/>
                      <w:lang w:val="en-US" w:eastAsia="zh-CN"/>
                    </w:rPr>
                    <w:t>和</w:t>
                  </w:r>
                  <w:r>
                    <w:rPr>
                      <w:rFonts w:hint="default" w:ascii="Times New Roman" w:hAnsi="Times New Roman" w:eastAsia="宋体" w:cs="Times New Roman"/>
                      <w:snapToGrid w:val="0"/>
                      <w:color w:val="auto"/>
                      <w:kern w:val="0"/>
                      <w:highlight w:val="none"/>
                      <w:lang w:val="en-US" w:eastAsia="zh-CN"/>
                    </w:rPr>
                    <w:t>新建有色、水泥项目。项目建立了健全环境风险防控体系，不属于以上约束管控的禁止项目，与生态环境准入条件不冲突。</w:t>
                  </w: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szCs w:val="24"/>
              </w:rPr>
              <w:t>综上所述，建设项目选址及实施符合</w:t>
            </w:r>
            <w:r>
              <w:rPr>
                <w:rFonts w:hint="default" w:ascii="Times New Roman" w:hAnsi="Times New Roman" w:cs="Times New Roman"/>
                <w:color w:val="auto"/>
                <w:sz w:val="24"/>
                <w:szCs w:val="24"/>
                <w:lang w:val="en-US" w:eastAsia="zh-CN"/>
              </w:rPr>
              <w:t>《宁德市人民政府关于印发宁德市“三线一单”生态环境分区管控方案的通知》（宁政[2021]11号）</w:t>
            </w:r>
            <w:r>
              <w:rPr>
                <w:rFonts w:hint="default" w:ascii="Times New Roman" w:hAnsi="Times New Roman" w:cs="Times New Roman"/>
                <w:color w:val="auto"/>
                <w:sz w:val="24"/>
                <w:szCs w:val="24"/>
              </w:rPr>
              <w:t>中“三线一单”的要求，选址合理。</w:t>
            </w:r>
          </w:p>
        </w:tc>
      </w:tr>
    </w:tbl>
    <w:p>
      <w:pPr>
        <w:rPr>
          <w:rFonts w:hint="default" w:ascii="Times New Roman" w:hAnsi="Times New Roman" w:eastAsia="黑体" w:cs="Times New Roman"/>
          <w:color w:val="auto"/>
          <w:sz w:val="30"/>
        </w:rPr>
        <w:sectPr>
          <w:pgSz w:w="11906" w:h="16838"/>
          <w:pgMar w:top="1417" w:right="1417" w:bottom="1417" w:left="1417" w:header="851" w:footer="1077"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cs="Times New Roman"/>
          <w:color w:val="auto"/>
          <w:kern w:val="2"/>
          <w:sz w:val="21"/>
          <w:szCs w:val="24"/>
          <w:highlight w:val="none"/>
          <w:lang w:val="en-US" w:eastAsia="zh-CN"/>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3596005</wp:posOffset>
                </wp:positionH>
                <wp:positionV relativeFrom="paragraph">
                  <wp:posOffset>1287780</wp:posOffset>
                </wp:positionV>
                <wp:extent cx="1048385" cy="533400"/>
                <wp:effectExtent l="12700" t="12700" r="24765" b="692150"/>
                <wp:wrapNone/>
                <wp:docPr id="41" name="矩形标注 41"/>
                <wp:cNvGraphicFramePr/>
                <a:graphic xmlns:a="http://schemas.openxmlformats.org/drawingml/2006/main">
                  <a:graphicData uri="http://schemas.microsoft.com/office/word/2010/wordprocessingShape">
                    <wps:wsp>
                      <wps:cNvSpPr/>
                      <wps:spPr>
                        <a:xfrm>
                          <a:off x="0" y="0"/>
                          <a:ext cx="1048385" cy="533400"/>
                        </a:xfrm>
                        <a:prstGeom prst="wedgeRectCallout">
                          <a:avLst>
                            <a:gd name="adj1" fmla="val 30300"/>
                            <a:gd name="adj2" fmla="val 175000"/>
                          </a:avLst>
                        </a:prstGeom>
                        <a:solidFill>
                          <a:schemeClr val="bg1"/>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lang w:val="en-US"/>
                              </w:rPr>
                            </w:pPr>
                            <w:r>
                              <w:rPr>
                                <w:rFonts w:hint="eastAsia" w:ascii="Times New Roman" w:hAnsi="Times New Roman" w:eastAsia="宋体" w:cs="Times New Roman"/>
                                <w:b/>
                                <w:bCs/>
                                <w:color w:val="FF0000"/>
                                <w:sz w:val="30"/>
                                <w:szCs w:val="30"/>
                                <w:highlight w:val="none"/>
                                <w:lang w:val="en-US" w:eastAsia="zh-CN"/>
                              </w:rPr>
                              <w:t>青拓集团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3.15pt;margin-top:101.4pt;height:42pt;width:82.55pt;z-index:251665408;v-text-anchor:middle;mso-width-relative:page;mso-height-relative:page;" fillcolor="#FFFFFF [3212]" filled="t" stroked="t" coordsize="21600,21600" o:gfxdata="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Y953a9wAAAALAQAADwAAAAAAAAABACAAAAAiAAAAZHJzL2Rvd25yZXYu&#10;eG1sUEsBAhQAFAAAAAgAh07iQH8P+DKiAgAATgUAAA4AAAAAAAAAAQAgAAAAKwEAAGRycy9lMm9E&#10;b2MueG1sUEsFBgAAAAAGAAYAWQEAAD8GAAAAAA==&#10;" adj="17345,48600">
                <v:fill on="t" focussize="0,0"/>
                <v:stroke weight="2pt" color="#0000FF [3204]" joinstyle="round"/>
                <v:imagedata o:title=""/>
                <o:lock v:ext="edit" aspectratio="f"/>
                <v:textbox>
                  <w:txbxContent>
                    <w:p>
                      <w:pPr>
                        <w:rPr>
                          <w:rFonts w:hint="default"/>
                          <w:lang w:val="en-US"/>
                        </w:rPr>
                      </w:pPr>
                      <w:r>
                        <w:rPr>
                          <w:rFonts w:hint="eastAsia" w:ascii="Times New Roman" w:hAnsi="Times New Roman" w:eastAsia="宋体" w:cs="Times New Roman"/>
                          <w:b/>
                          <w:bCs/>
                          <w:color w:val="FF0000"/>
                          <w:sz w:val="30"/>
                          <w:szCs w:val="30"/>
                          <w:highlight w:val="none"/>
                          <w:lang w:val="en-US" w:eastAsia="zh-CN"/>
                        </w:rPr>
                        <w:t>青拓集团</w:t>
                      </w: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4388485</wp:posOffset>
                </wp:positionH>
                <wp:positionV relativeFrom="paragraph">
                  <wp:posOffset>2487930</wp:posOffset>
                </wp:positionV>
                <wp:extent cx="137795" cy="127000"/>
                <wp:effectExtent l="19050" t="19050" r="33655" b="25400"/>
                <wp:wrapNone/>
                <wp:docPr id="36" name="椭圆 543"/>
                <wp:cNvGraphicFramePr/>
                <a:graphic xmlns:a="http://schemas.openxmlformats.org/drawingml/2006/main">
                  <a:graphicData uri="http://schemas.microsoft.com/office/word/2010/wordprocessingShape">
                    <wps:wsp>
                      <wps:cNvSpPr/>
                      <wps:spPr>
                        <a:xfrm>
                          <a:off x="0" y="0"/>
                          <a:ext cx="137795" cy="127000"/>
                        </a:xfrm>
                        <a:prstGeom prst="ellipse">
                          <a:avLst/>
                        </a:prstGeom>
                        <a:solidFill>
                          <a:srgbClr val="FF0000"/>
                        </a:solidFill>
                        <a:ln w="38100">
                          <a:solidFill>
                            <a:srgbClr val="0000FF"/>
                          </a:solidFill>
                        </a:ln>
                      </wps:spPr>
                      <wps:bodyPr wrap="square" upright="1"/>
                    </wps:wsp>
                  </a:graphicData>
                </a:graphic>
              </wp:anchor>
            </w:drawing>
          </mc:Choice>
          <mc:Fallback>
            <w:pict>
              <v:shape id="椭圆 543" o:spid="_x0000_s1026" o:spt="3" type="#_x0000_t3" style="position:absolute;left:0pt;margin-left:345.55pt;margin-top:195.9pt;height:10pt;width:10.85pt;z-index:251664384;mso-width-relative:page;mso-height-relative:page;" fillcolor="#FF0000" filled="t" stroked="t" coordsize="21600,21600" o:gfxdata="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pNLE3YAAAACwEAAA8AAAAAAAAAAQAgAAAAIgAA&#10;AGRycy9kb3ducmV2LnhtbFBLAQIUABQAAAAIAIdO4kBcXvnPzwEAAKUDAAAOAAAAAAAAAAEAIAAA&#10;ACcBAABkcnMvZTJvRG9jLnhtbFBLBQYAAAAABgAGAFkBAABoBQAAAAA=&#10;">
                <v:fill on="t" focussize="0,0"/>
                <v:stroke weight="3pt" color="#0000FF" joinstyle="round"/>
                <v:imagedata o:title=""/>
                <o:lock v:ext="edit" aspectratio="f"/>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4661535</wp:posOffset>
                </wp:positionH>
                <wp:positionV relativeFrom="paragraph">
                  <wp:posOffset>3620135</wp:posOffset>
                </wp:positionV>
                <wp:extent cx="1183005" cy="514350"/>
                <wp:effectExtent l="0" t="0" r="0" b="0"/>
                <wp:wrapNone/>
                <wp:docPr id="29" name="自选图形 544"/>
                <wp:cNvGraphicFramePr/>
                <a:graphic xmlns:a="http://schemas.openxmlformats.org/drawingml/2006/main">
                  <a:graphicData uri="http://schemas.microsoft.com/office/word/2010/wordprocessingShape">
                    <wps:wsp>
                      <wps:cNvSpPr/>
                      <wps:spPr>
                        <a:xfrm>
                          <a:off x="0" y="0"/>
                          <a:ext cx="1183005" cy="514350"/>
                        </a:xfrm>
                        <a:prstGeom prst="wedgeRectCallout">
                          <a:avLst/>
                        </a:prstGeom>
                        <a:noFill/>
                        <a:ln>
                          <a:noFill/>
                        </a:ln>
                      </wps:spPr>
                      <wps:txbx>
                        <w:txbxContent>
                          <w:p>
                            <w:pPr>
                              <w:rPr>
                                <w:rFonts w:hint="default" w:ascii="Times New Roman" w:hAnsi="Times New Roman" w:eastAsia="宋体" w:cs="Times New Roman"/>
                                <w:b/>
                                <w:bCs/>
                                <w:color w:val="FF0000"/>
                                <w:sz w:val="30"/>
                                <w:szCs w:val="30"/>
                                <w:highlight w:val="none"/>
                                <w:lang w:val="en-US" w:eastAsia="zh-CN"/>
                              </w:rPr>
                            </w:pPr>
                            <w:r>
                              <w:rPr>
                                <w:rFonts w:hint="eastAsia" w:ascii="Times New Roman" w:hAnsi="Times New Roman" w:eastAsia="宋体" w:cs="Times New Roman"/>
                                <w:b/>
                                <w:bCs/>
                                <w:color w:val="FF0000"/>
                                <w:sz w:val="30"/>
                                <w:szCs w:val="30"/>
                                <w:highlight w:val="none"/>
                                <w:lang w:val="en-US" w:eastAsia="zh-CN"/>
                              </w:rPr>
                              <w:t>本项目位置</w:t>
                            </w:r>
                          </w:p>
                        </w:txbxContent>
                      </wps:txbx>
                      <wps:bodyPr vert="horz" wrap="square" anchor="t" anchorCtr="0" upright="1"/>
                    </wps:wsp>
                  </a:graphicData>
                </a:graphic>
              </wp:anchor>
            </w:drawing>
          </mc:Choice>
          <mc:Fallback>
            <w:pict>
              <v:shape id="自选图形 544" o:spid="_x0000_s1026" o:spt="61" type="#_x0000_t61" style="position:absolute;left:0pt;margin-left:367.05pt;margin-top:285.05pt;height:40.5pt;width:93.15pt;z-index:251663360;mso-width-relative:page;mso-height-relative:page;" filled="f" stroked="f" coordsize="21600,21600" o:gfxdata="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IG5cdgAAAALAQAADwAAAAAA&#10;AAABACAAAAAiAAAAZHJzL2Rvd25yZXYueG1sUEsBAhQAFAAAAAgAh07iQGUsF0HaAQAAiQMAAA4A&#10;AAAAAAAAAQAgAAAAJwEAAGRycy9lMm9Eb2MueG1sUEsFBgAAAAAGAAYAWQEAAHMFAAAAAA==&#10;" adj="6300,24300">
                <v:fill on="f" focussize="0,0"/>
                <v:stroke on="f"/>
                <v:imagedata o:title=""/>
                <o:lock v:ext="edit" aspectratio="f"/>
                <v:textbox>
                  <w:txbxContent>
                    <w:p>
                      <w:pPr>
                        <w:rPr>
                          <w:rFonts w:hint="default" w:ascii="Times New Roman" w:hAnsi="Times New Roman" w:eastAsia="宋体" w:cs="Times New Roman"/>
                          <w:b/>
                          <w:bCs/>
                          <w:color w:val="FF0000"/>
                          <w:sz w:val="30"/>
                          <w:szCs w:val="30"/>
                          <w:highlight w:val="none"/>
                          <w:lang w:val="en-US" w:eastAsia="zh-CN"/>
                        </w:rPr>
                      </w:pPr>
                      <w:r>
                        <w:rPr>
                          <w:rFonts w:hint="eastAsia" w:ascii="Times New Roman" w:hAnsi="Times New Roman" w:eastAsia="宋体" w:cs="Times New Roman"/>
                          <w:b/>
                          <w:bCs/>
                          <w:color w:val="FF0000"/>
                          <w:sz w:val="30"/>
                          <w:szCs w:val="30"/>
                          <w:highlight w:val="none"/>
                          <w:lang w:val="en-US" w:eastAsia="zh-CN"/>
                        </w:rPr>
                        <w:t>本项目位置</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4653280</wp:posOffset>
                </wp:positionH>
                <wp:positionV relativeFrom="paragraph">
                  <wp:posOffset>3573780</wp:posOffset>
                </wp:positionV>
                <wp:extent cx="1266825" cy="533400"/>
                <wp:effectExtent l="319405" t="736600" r="13970" b="25400"/>
                <wp:wrapNone/>
                <wp:docPr id="32" name="矩形标注 32"/>
                <wp:cNvGraphicFramePr/>
                <a:graphic xmlns:a="http://schemas.openxmlformats.org/drawingml/2006/main">
                  <a:graphicData uri="http://schemas.microsoft.com/office/word/2010/wordprocessingShape">
                    <wps:wsp>
                      <wps:cNvSpPr/>
                      <wps:spPr>
                        <a:xfrm>
                          <a:off x="4743450" y="3797300"/>
                          <a:ext cx="1266825" cy="533400"/>
                        </a:xfrm>
                        <a:prstGeom prst="wedgeRectCallout">
                          <a:avLst>
                            <a:gd name="adj1" fmla="val -74210"/>
                            <a:gd name="adj2" fmla="val -185714"/>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6.4pt;margin-top:281.4pt;height:42pt;width:99.75pt;z-index:251662336;v-text-anchor:middle;mso-width-relative:page;mso-height-relative:page;" fillcolor="#FFFFFF [3212]" filled="t" stroked="t" coordsize="21600,21600" o:gfxdata="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P09DDbZAAAACwEAAA8AAAAAAAAAAQAgAAAAIgAAAGRy&#10;cy9kb3ducmV2LnhtbFBLAQIUABQAAAAIAIdO4kAambZLrwIAAFwFAAAOAAAAAAAAAAEAIAAAACgB&#10;AABkcnMvZTJvRG9jLnhtbFBLBQYAAAAABgAGAFkBAABJBgAAAAA=&#10;" adj="-5229,-29314">
                <v:fill on="t" focussize="0,0"/>
                <v:stroke weight="2pt" color="#FFFF00 [3204]" joinstyle="round"/>
                <v:imagedata o:title=""/>
                <o:lock v:ext="edit" aspectratio="f"/>
                <v:textbox>
                  <w:txbxContent>
                    <w:p>
                      <w:pPr>
                        <w:jc w:val="center"/>
                      </w:pPr>
                    </w:p>
                  </w:txbxContent>
                </v:textbox>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4236085</wp:posOffset>
                </wp:positionH>
                <wp:positionV relativeFrom="paragraph">
                  <wp:posOffset>2697480</wp:posOffset>
                </wp:positionV>
                <wp:extent cx="137795" cy="127000"/>
                <wp:effectExtent l="19050" t="19050" r="33655" b="25400"/>
                <wp:wrapNone/>
                <wp:docPr id="28" name="椭圆 543"/>
                <wp:cNvGraphicFramePr/>
                <a:graphic xmlns:a="http://schemas.openxmlformats.org/drawingml/2006/main">
                  <a:graphicData uri="http://schemas.microsoft.com/office/word/2010/wordprocessingShape">
                    <wps:wsp>
                      <wps:cNvSpPr/>
                      <wps:spPr>
                        <a:xfrm>
                          <a:off x="0" y="0"/>
                          <a:ext cx="137795" cy="127000"/>
                        </a:xfrm>
                        <a:prstGeom prst="ellipse">
                          <a:avLst/>
                        </a:prstGeom>
                        <a:solidFill>
                          <a:srgbClr val="FF0000"/>
                        </a:solidFill>
                        <a:ln w="38100">
                          <a:solidFill>
                            <a:srgbClr val="FFFF00"/>
                          </a:solidFill>
                        </a:ln>
                      </wps:spPr>
                      <wps:bodyPr wrap="square" upright="1"/>
                    </wps:wsp>
                  </a:graphicData>
                </a:graphic>
              </wp:anchor>
            </w:drawing>
          </mc:Choice>
          <mc:Fallback>
            <w:pict>
              <v:shape id="椭圆 543" o:spid="_x0000_s1026" o:spt="3" type="#_x0000_t3" style="position:absolute;left:0pt;margin-left:333.55pt;margin-top:212.4pt;height:10pt;width:10.85pt;z-index:251661312;mso-width-relative:page;mso-height-relative:page;" fillcolor="#FF0000" filled="t" stroked="t" coordsize="21600,21600" o:gfxdata="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X8aszZAAAACwEAAA8AAAAAAAAAAQAgAAAAIgAA&#10;AGRycy9kb3ducmV2LnhtbFBLAQIUABQAAAAIAIdO4kBxC6azzgEAAKUDAAAOAAAAAAAAAAEAIAAA&#10;ACgBAABkcnMvZTJvRG9jLnhtbFBLBQYAAAAABgAGAFkBAABoBQAAAAA=&#10;">
                <v:fill on="t" focussize="0,0"/>
                <v:stroke weight="3pt" color="#FFFF00" joinstyle="round"/>
                <v:imagedata o:title=""/>
                <o:lock v:ext="edit" aspectratio="f"/>
              </v:shape>
            </w:pict>
          </mc:Fallback>
        </mc:AlternateContent>
      </w:r>
      <w:r>
        <w:rPr>
          <w:rFonts w:hint="default" w:ascii="Times New Roman" w:hAnsi="Times New Roman" w:cs="Times New Roman"/>
          <w:color w:val="auto"/>
          <w:highlight w:val="none"/>
        </w:rPr>
        <w:drawing>
          <wp:inline distT="0" distB="0" distL="114300" distR="114300">
            <wp:extent cx="8529320" cy="4973320"/>
            <wp:effectExtent l="0" t="0" r="5080" b="17780"/>
            <wp:docPr id="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6"/>
                    <pic:cNvPicPr>
                      <a:picLocks noChangeAspect="1"/>
                    </pic:cNvPicPr>
                  </pic:nvPicPr>
                  <pic:blipFill>
                    <a:blip r:embed="rId8"/>
                    <a:stretch>
                      <a:fillRect/>
                    </a:stretch>
                  </pic:blipFill>
                  <pic:spPr>
                    <a:xfrm>
                      <a:off x="0" y="0"/>
                      <a:ext cx="8529320" cy="4973320"/>
                    </a:xfrm>
                    <a:prstGeom prst="rect">
                      <a:avLst/>
                    </a:prstGeom>
                    <a:noFill/>
                    <a:ln>
                      <a:noFill/>
                    </a:ln>
                  </pic:spPr>
                </pic:pic>
              </a:graphicData>
            </a:graphic>
          </wp:inline>
        </w:drawing>
      </w:r>
    </w:p>
    <w:p>
      <w:pPr>
        <w:pStyle w:val="45"/>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left="0" w:leftChars="0" w:firstLine="0" w:firstLineChars="0"/>
        <w:jc w:val="center"/>
        <w:textAlignment w:val="auto"/>
        <w:rPr>
          <w:rFonts w:hint="default" w:ascii="Times New Roman" w:hAnsi="Times New Roman" w:eastAsia="宋体" w:cs="Times New Roman"/>
          <w:b/>
          <w:bCs/>
          <w:color w:val="auto"/>
          <w:szCs w:val="24"/>
          <w:highlight w:val="none"/>
          <w:lang w:val="en-US" w:eastAsia="zh-CN"/>
        </w:rPr>
        <w:sectPr>
          <w:pgSz w:w="16838" w:h="11905" w:orient="landscape"/>
          <w:pgMar w:top="1417" w:right="1417" w:bottom="1417" w:left="1417" w:header="964" w:footer="964" w:gutter="0"/>
          <w:pgNumType w:fmt="decimal"/>
          <w:cols w:space="720" w:num="1"/>
          <w:rtlGutter w:val="0"/>
          <w:docGrid w:linePitch="312" w:charSpace="0"/>
        </w:sectPr>
      </w:pPr>
      <w:r>
        <w:rPr>
          <w:rFonts w:hint="default" w:ascii="Times New Roman" w:hAnsi="Times New Roman" w:eastAsia="宋体" w:cs="Times New Roman"/>
          <w:b/>
          <w:bCs/>
          <w:color w:val="auto"/>
          <w:szCs w:val="24"/>
          <w:highlight w:val="none"/>
          <w:lang w:val="en-US" w:eastAsia="zh-CN"/>
        </w:rPr>
        <w:t>图1.1-1  宁德城市总规白马城区用地规划图</w:t>
      </w:r>
    </w:p>
    <w:p>
      <w:pPr>
        <w:pStyle w:val="45"/>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left="0" w:leftChars="0" w:firstLine="0" w:firstLineChars="0"/>
        <w:jc w:val="center"/>
        <w:textAlignment w:val="auto"/>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b/>
          <w:bCs/>
          <w:color w:val="auto"/>
          <w:szCs w:val="24"/>
          <w:highlight w:val="none"/>
          <w:lang w:val="en-US" w:eastAsia="zh-CN"/>
        </w:rPr>
        <w:drawing>
          <wp:inline distT="0" distB="0" distL="114300" distR="114300">
            <wp:extent cx="6610350" cy="4752975"/>
            <wp:effectExtent l="0" t="0" r="0" b="9525"/>
            <wp:docPr id="100" name="图片 100" descr="61f72cd96345ee27330c63375497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61f72cd96345ee27330c63375497f09"/>
                    <pic:cNvPicPr>
                      <a:picLocks noChangeAspect="1"/>
                    </pic:cNvPicPr>
                  </pic:nvPicPr>
                  <pic:blipFill>
                    <a:blip r:embed="rId9"/>
                    <a:stretch>
                      <a:fillRect/>
                    </a:stretch>
                  </pic:blipFill>
                  <pic:spPr>
                    <a:xfrm>
                      <a:off x="0" y="0"/>
                      <a:ext cx="6610350" cy="4752975"/>
                    </a:xfrm>
                    <a:prstGeom prst="rect">
                      <a:avLst/>
                    </a:prstGeom>
                  </pic:spPr>
                </pic:pic>
              </a:graphicData>
            </a:graphic>
          </wp:inline>
        </w:drawing>
      </w:r>
    </w:p>
    <w:p>
      <w:pPr>
        <w:pStyle w:val="45"/>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left="0" w:leftChars="0" w:firstLine="0" w:firstLineChars="0"/>
        <w:jc w:val="center"/>
        <w:textAlignment w:val="auto"/>
        <w:rPr>
          <w:rFonts w:hint="default" w:ascii="Times New Roman" w:hAnsi="Times New Roman" w:eastAsia="宋体" w:cs="Times New Roman"/>
          <w:b/>
          <w:bCs/>
          <w:color w:val="auto"/>
          <w:szCs w:val="24"/>
          <w:highlight w:val="none"/>
          <w:lang w:val="en-US" w:eastAsia="zh-CN"/>
        </w:rPr>
        <w:sectPr>
          <w:pgSz w:w="16838" w:h="11905" w:orient="landscape"/>
          <w:pgMar w:top="1417" w:right="1417" w:bottom="1417" w:left="1417" w:header="964" w:footer="964" w:gutter="0"/>
          <w:pgNumType w:fmt="decimal"/>
          <w:cols w:space="720" w:num="1"/>
          <w:rtlGutter w:val="0"/>
          <w:docGrid w:linePitch="312" w:charSpace="0"/>
        </w:sectPr>
      </w:pPr>
      <w:r>
        <w:rPr>
          <w:rFonts w:hint="default" w:ascii="Times New Roman" w:hAnsi="Times New Roman" w:eastAsia="宋体" w:cs="Times New Roman"/>
          <w:b/>
          <w:bCs/>
          <w:color w:val="auto"/>
          <w:szCs w:val="24"/>
          <w:highlight w:val="none"/>
          <w:lang w:val="en-US" w:eastAsia="zh-CN"/>
        </w:rPr>
        <w:t>图1.1-</w:t>
      </w:r>
      <w:r>
        <w:rPr>
          <w:rFonts w:hint="eastAsia" w:cs="Times New Roman"/>
          <w:b/>
          <w:bCs/>
          <w:color w:val="auto"/>
          <w:szCs w:val="24"/>
          <w:highlight w:val="none"/>
          <w:lang w:val="en-US" w:eastAsia="zh-CN"/>
        </w:rPr>
        <w:t>2</w:t>
      </w:r>
      <w:r>
        <w:rPr>
          <w:rFonts w:hint="default" w:ascii="Times New Roman" w:hAnsi="Times New Roman" w:eastAsia="宋体" w:cs="Times New Roman"/>
          <w:b/>
          <w:bCs/>
          <w:color w:val="auto"/>
          <w:szCs w:val="24"/>
          <w:highlight w:val="none"/>
          <w:lang w:val="en-US" w:eastAsia="zh-CN"/>
        </w:rPr>
        <w:t xml:space="preserve">  宁德市环境管控单元图</w:t>
      </w:r>
    </w:p>
    <w:p>
      <w:pPr>
        <w:pStyle w:val="45"/>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left="0" w:leftChars="0" w:firstLine="4800" w:firstLineChars="1000"/>
        <w:jc w:val="both"/>
        <w:textAlignment w:val="auto"/>
        <w:rPr>
          <w:rFonts w:hint="default" w:ascii="Times New Roman" w:hAnsi="Times New Roman" w:eastAsia="宋体" w:cs="Times New Roman"/>
          <w:b/>
          <w:bCs/>
          <w:color w:val="auto"/>
          <w:szCs w:val="24"/>
          <w:highlight w:val="none"/>
          <w:lang w:val="en-US" w:eastAsia="zh-CN"/>
        </w:rPr>
        <w:sectPr>
          <w:pgSz w:w="16838" w:h="11905" w:orient="landscape"/>
          <w:pgMar w:top="1417" w:right="1417" w:bottom="1417" w:left="1417" w:header="964" w:footer="964" w:gutter="0"/>
          <w:pgNumType w:fmt="decimal"/>
          <w:cols w:space="720" w:num="1"/>
          <w:rtlGutter w:val="0"/>
          <w:docGrid w:linePitch="312" w:charSpace="0"/>
        </w:sectPr>
      </w:pPr>
      <w:r>
        <w:rPr>
          <w:rFonts w:hint="default" w:ascii="Times New Roman" w:hAnsi="Times New Roman" w:cs="Times New Roman"/>
          <w:color w:val="auto"/>
          <w:sz w:val="48"/>
          <w:szCs w:val="56"/>
          <w:highlight w:val="none"/>
        </w:rPr>
        <w:drawing>
          <wp:anchor distT="0" distB="0" distL="114300" distR="114300" simplePos="0" relativeHeight="251666432" behindDoc="0" locked="0" layoutInCell="1" allowOverlap="1">
            <wp:simplePos x="0" y="0"/>
            <wp:positionH relativeFrom="column">
              <wp:posOffset>645160</wp:posOffset>
            </wp:positionH>
            <wp:positionV relativeFrom="paragraph">
              <wp:posOffset>-10795</wp:posOffset>
            </wp:positionV>
            <wp:extent cx="6394450" cy="4841240"/>
            <wp:effectExtent l="0" t="0" r="6350" b="16510"/>
            <wp:wrapTopAndBottom/>
            <wp:docPr id="39" name="图片 20" descr="H%YMZD5IJYXQ$]W4E]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H%YMZD5IJYXQ$]W4E]4(A$7"/>
                    <pic:cNvPicPr>
                      <a:picLocks noChangeAspect="1"/>
                    </pic:cNvPicPr>
                  </pic:nvPicPr>
                  <pic:blipFill>
                    <a:blip r:embed="rId10"/>
                    <a:stretch>
                      <a:fillRect/>
                    </a:stretch>
                  </pic:blipFill>
                  <pic:spPr>
                    <a:xfrm>
                      <a:off x="0" y="0"/>
                      <a:ext cx="6394450" cy="4841240"/>
                    </a:xfrm>
                    <a:prstGeom prst="rect">
                      <a:avLst/>
                    </a:prstGeom>
                    <a:noFill/>
                    <a:ln>
                      <a:noFill/>
                    </a:ln>
                  </pic:spPr>
                </pic:pic>
              </a:graphicData>
            </a:graphic>
          </wp:anchor>
        </w:drawing>
      </w:r>
      <w:r>
        <w:rPr>
          <w:rFonts w:hint="default" w:ascii="Times New Roman" w:hAnsi="Times New Roman" w:eastAsia="宋体" w:cs="Times New Roman"/>
          <w:b/>
          <w:bCs/>
          <w:color w:val="auto"/>
          <w:szCs w:val="24"/>
          <w:highlight w:val="none"/>
          <w:lang w:val="en-US" w:eastAsia="zh-CN"/>
        </w:rPr>
        <w:t>图1.1-</w:t>
      </w:r>
      <w:r>
        <w:rPr>
          <w:rFonts w:hint="eastAsia" w:cs="Times New Roman"/>
          <w:b/>
          <w:bCs/>
          <w:color w:val="auto"/>
          <w:szCs w:val="24"/>
          <w:highlight w:val="none"/>
          <w:lang w:val="en-US" w:eastAsia="zh-CN"/>
        </w:rPr>
        <w:t>3</w:t>
      </w:r>
      <w:r>
        <w:rPr>
          <w:rFonts w:hint="default" w:ascii="Times New Roman" w:hAnsi="Times New Roman" w:eastAsia="宋体" w:cs="Times New Roman"/>
          <w:b/>
          <w:bCs/>
          <w:color w:val="auto"/>
          <w:szCs w:val="24"/>
          <w:highlight w:val="none"/>
          <w:lang w:val="en-US" w:eastAsia="zh-CN"/>
        </w:rPr>
        <w:t xml:space="preserve">  </w:t>
      </w:r>
      <w:r>
        <w:rPr>
          <w:rFonts w:hint="eastAsia" w:cs="Times New Roman"/>
          <w:b/>
          <w:bCs/>
          <w:color w:val="auto"/>
          <w:szCs w:val="24"/>
          <w:highlight w:val="none"/>
          <w:lang w:val="en-US" w:eastAsia="zh-CN"/>
        </w:rPr>
        <w:t>地理位置</w:t>
      </w:r>
      <w:r>
        <w:rPr>
          <w:rFonts w:hint="default" w:ascii="Times New Roman" w:hAnsi="Times New Roman" w:eastAsia="宋体" w:cs="Times New Roman"/>
          <w:b/>
          <w:bCs/>
          <w:color w:val="auto"/>
          <w:szCs w:val="24"/>
          <w:highlight w:val="none"/>
          <w:lang w:val="en-US" w:eastAsia="zh-CN"/>
        </w:rPr>
        <w:t>图</w:t>
      </w:r>
    </w:p>
    <w:p>
      <w:pPr>
        <w:pStyle w:val="29"/>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outlineLvl w:val="0"/>
        <w:rPr>
          <w:rFonts w:hint="default" w:ascii="Times New Roman" w:hAnsi="Times New Roman" w:eastAsia="黑体" w:cs="Times New Roman"/>
          <w:snapToGrid w:val="0"/>
          <w:color w:val="auto"/>
          <w:sz w:val="30"/>
          <w:szCs w:val="30"/>
          <w:highlight w:val="none"/>
          <w:shd w:val="clear" w:color="auto" w:fill="FFFFFF"/>
          <w:lang w:val="en-US" w:eastAsia="zh-CN"/>
        </w:rPr>
      </w:pPr>
      <w:bookmarkStart w:id="38" w:name="_Toc18665"/>
      <w:bookmarkStart w:id="39" w:name="_Toc30827"/>
      <w:r>
        <w:rPr>
          <w:rFonts w:hint="eastAsia" w:ascii="Times New Roman" w:hAnsi="Times New Roman" w:eastAsia="黑体" w:cs="Times New Roman"/>
          <w:snapToGrid w:val="0"/>
          <w:color w:val="auto"/>
          <w:sz w:val="30"/>
          <w:szCs w:val="30"/>
          <w:highlight w:val="none"/>
          <w:shd w:val="clear" w:color="auto" w:fill="FFFFFF"/>
          <w:lang w:val="en-US" w:eastAsia="zh-CN"/>
        </w:rPr>
        <w:t>二、</w:t>
      </w:r>
      <w:r>
        <w:rPr>
          <w:rFonts w:hint="default" w:ascii="Times New Roman" w:hAnsi="Times New Roman" w:eastAsia="黑体" w:cs="Times New Roman"/>
          <w:snapToGrid w:val="0"/>
          <w:color w:val="auto"/>
          <w:sz w:val="30"/>
          <w:szCs w:val="30"/>
          <w:highlight w:val="none"/>
          <w:shd w:val="clear" w:color="auto" w:fill="FFFFFF"/>
          <w:lang w:val="en-US" w:eastAsia="zh-CN"/>
        </w:rPr>
        <w:t>建设项目工程分析</w:t>
      </w:r>
      <w:bookmarkEnd w:id="38"/>
      <w:bookmarkEnd w:id="39"/>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dxa"/>
            <w:noWrap w:val="0"/>
            <w:vAlign w:val="center"/>
          </w:tcPr>
          <w:p>
            <w:pPr>
              <w:pStyle w:val="29"/>
              <w:widowControl w:val="0"/>
              <w:adjustRightInd w:val="0"/>
              <w:spacing w:before="0" w:beforeAutospacing="0" w:after="0" w:afterAutospacing="0"/>
              <w:jc w:val="center"/>
              <w:rPr>
                <w:rFonts w:hint="default" w:ascii="Times New Roman" w:hAnsi="Times New Roman" w:cs="Times New Roman"/>
                <w:color w:val="auto"/>
                <w:sz w:val="24"/>
                <w:szCs w:val="24"/>
                <w:highlight w:val="none"/>
              </w:rPr>
            </w:pPr>
            <w:bookmarkStart w:id="40" w:name="_Toc6968"/>
            <w:r>
              <w:rPr>
                <w:rFonts w:hint="default" w:ascii="Times New Roman" w:hAnsi="Times New Roman" w:cs="Times New Roman"/>
                <w:color w:val="auto"/>
                <w:sz w:val="24"/>
                <w:szCs w:val="24"/>
                <w:highlight w:val="none"/>
              </w:rPr>
              <w:t>建设</w:t>
            </w:r>
          </w:p>
          <w:p>
            <w:pPr>
              <w:pStyle w:val="29"/>
              <w:widowControl w:val="0"/>
              <w:adjustRightIn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内容</w:t>
            </w:r>
          </w:p>
        </w:tc>
        <w:tc>
          <w:tcPr>
            <w:tcW w:w="8835" w:type="dxa"/>
            <w:noWrap w:val="0"/>
            <w:vAlign w:val="top"/>
          </w:tcPr>
          <w:p>
            <w:pPr>
              <w:pStyle w:val="98"/>
              <w:keepNext/>
              <w:keepLines/>
              <w:pageBreakBefore w:val="0"/>
              <w:widowControl w:val="0"/>
              <w:kinsoku/>
              <w:wordWrap/>
              <w:overflowPunct/>
              <w:topLinePunct w:val="0"/>
              <w:autoSpaceDE/>
              <w:autoSpaceDN/>
              <w:bidi w:val="0"/>
              <w:adjustRightInd w:val="0"/>
              <w:snapToGrid w:val="0"/>
              <w:spacing w:before="219" w:beforeLines="70" w:after="219" w:afterLines="70" w:line="240" w:lineRule="auto"/>
              <w:ind w:firstLine="0" w:firstLineChars="0"/>
              <w:textAlignment w:val="auto"/>
              <w:rPr>
                <w:rFonts w:hint="default" w:ascii="Times New Roman" w:hAnsi="Times New Roman" w:eastAsia="宋体" w:cs="Times New Roman"/>
                <w:b/>
                <w:bCs w:val="0"/>
                <w:snapToGrid/>
                <w:color w:val="auto"/>
                <w:sz w:val="30"/>
                <w:szCs w:val="30"/>
                <w:highlight w:val="none"/>
                <w:lang w:val="en-US" w:eastAsia="zh-CN"/>
              </w:rPr>
            </w:pPr>
            <w:bookmarkStart w:id="41" w:name="_Toc19029"/>
            <w:bookmarkStart w:id="42" w:name="_Toc31914"/>
            <w:r>
              <w:rPr>
                <w:rFonts w:hint="default" w:ascii="Times New Roman" w:hAnsi="Times New Roman" w:eastAsia="宋体" w:cs="Times New Roman"/>
                <w:b/>
                <w:bCs w:val="0"/>
                <w:snapToGrid/>
                <w:color w:val="auto"/>
                <w:sz w:val="30"/>
                <w:szCs w:val="30"/>
                <w:highlight w:val="none"/>
                <w:lang w:val="en-US" w:eastAsia="zh-CN"/>
              </w:rPr>
              <w:t>2.</w:t>
            </w:r>
            <w:r>
              <w:rPr>
                <w:rFonts w:hint="eastAsia" w:eastAsia="宋体" w:cs="Times New Roman"/>
                <w:b/>
                <w:bCs w:val="0"/>
                <w:snapToGrid/>
                <w:color w:val="auto"/>
                <w:sz w:val="30"/>
                <w:szCs w:val="30"/>
                <w:highlight w:val="none"/>
                <w:lang w:val="en-US" w:eastAsia="zh-CN"/>
              </w:rPr>
              <w:t>1</w:t>
            </w:r>
            <w:r>
              <w:rPr>
                <w:rFonts w:hint="eastAsia" w:ascii="Times New Roman" w:hAnsi="Times New Roman" w:eastAsia="宋体" w:cs="Times New Roman"/>
                <w:b/>
                <w:bCs w:val="0"/>
                <w:snapToGrid/>
                <w:color w:val="auto"/>
                <w:sz w:val="30"/>
                <w:szCs w:val="30"/>
                <w:highlight w:val="none"/>
                <w:lang w:val="en-US" w:eastAsia="zh-CN"/>
              </w:rPr>
              <w:t xml:space="preserve">  </w:t>
            </w:r>
            <w:r>
              <w:rPr>
                <w:rFonts w:hint="default" w:ascii="Times New Roman" w:hAnsi="Times New Roman" w:eastAsia="宋体" w:cs="Times New Roman"/>
                <w:b/>
                <w:bCs w:val="0"/>
                <w:snapToGrid/>
                <w:color w:val="auto"/>
                <w:sz w:val="30"/>
                <w:szCs w:val="30"/>
                <w:highlight w:val="none"/>
                <w:lang w:val="en-US" w:eastAsia="zh-CN"/>
              </w:rPr>
              <w:t>建设内容</w:t>
            </w:r>
            <w:bookmarkEnd w:id="41"/>
            <w:bookmarkEnd w:id="42"/>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.1</w:t>
            </w:r>
            <w:r>
              <w:rPr>
                <w:rFonts w:hint="eastAsia" w:ascii="Times New Roman" w:hAnsi="Times New Roman" w:eastAsia="宋体" w:cs="Times New Roman"/>
                <w:b/>
                <w:bCs/>
                <w:color w:val="auto"/>
                <w:sz w:val="28"/>
                <w:szCs w:val="28"/>
                <w:highlight w:val="none"/>
                <w:lang w:val="en-US" w:eastAsia="zh-CN"/>
              </w:rPr>
              <w:t>本项目</w:t>
            </w:r>
            <w:r>
              <w:rPr>
                <w:rFonts w:hint="default" w:ascii="Times New Roman" w:hAnsi="Times New Roman" w:eastAsia="宋体" w:cs="Times New Roman"/>
                <w:b/>
                <w:bCs/>
                <w:color w:val="auto"/>
                <w:sz w:val="28"/>
                <w:szCs w:val="28"/>
                <w:highlight w:val="none"/>
                <w:lang w:val="en-US" w:eastAsia="zh-CN"/>
              </w:rPr>
              <w:t>基本情况</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（1）项目名称：</w:t>
            </w:r>
            <w:r>
              <w:rPr>
                <w:rFonts w:hint="eastAsia" w:ascii="Times New Roman" w:hAnsi="Times New Roman" w:cs="Times New Roman"/>
                <w:color w:val="auto"/>
                <w:sz w:val="24"/>
                <w:szCs w:val="24"/>
                <w:lang w:val="en-US" w:eastAsia="zh-CN"/>
              </w:rPr>
              <w:t>钢渣综合利用技改项目</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（2）建设单位：</w:t>
            </w:r>
            <w:r>
              <w:rPr>
                <w:rFonts w:hint="default" w:ascii="Times New Roman" w:hAnsi="Times New Roman" w:cs="Times New Roman"/>
                <w:color w:val="auto"/>
                <w:sz w:val="24"/>
                <w:lang w:val="en-US" w:eastAsia="zh-CN"/>
              </w:rPr>
              <w:t>福安市青拓环保建材有限公司</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（3）建设地点：</w:t>
            </w:r>
            <w:r>
              <w:rPr>
                <w:rFonts w:hint="default" w:ascii="Times New Roman" w:hAnsi="Times New Roman" w:cs="Times New Roman"/>
                <w:color w:val="auto"/>
                <w:sz w:val="24"/>
                <w:szCs w:val="24"/>
                <w:u w:val="none"/>
              </w:rPr>
              <w:t>福建</w:t>
            </w:r>
            <w:r>
              <w:rPr>
                <w:rFonts w:hint="default" w:ascii="Times New Roman" w:hAnsi="Times New Roman" w:cs="Times New Roman"/>
                <w:color w:val="auto"/>
                <w:sz w:val="24"/>
                <w:szCs w:val="24"/>
              </w:rPr>
              <w:t>省</w:t>
            </w:r>
            <w:r>
              <w:rPr>
                <w:rFonts w:hint="eastAsia" w:cs="Times New Roman"/>
                <w:color w:val="auto"/>
                <w:sz w:val="24"/>
                <w:szCs w:val="24"/>
                <w:u w:val="none"/>
                <w:lang w:val="en-US" w:eastAsia="zh-CN"/>
              </w:rPr>
              <w:t>宁德</w:t>
            </w:r>
            <w:r>
              <w:rPr>
                <w:rFonts w:hint="default" w:ascii="Times New Roman" w:hAnsi="Times New Roman" w:cs="Times New Roman"/>
                <w:color w:val="auto"/>
                <w:sz w:val="24"/>
                <w:szCs w:val="24"/>
              </w:rPr>
              <w:t>市福安市湾坞镇上洋村</w:t>
            </w:r>
            <w:r>
              <w:rPr>
                <w:rFonts w:hint="default" w:ascii="Times New Roman" w:hAnsi="Times New Roman" w:cs="Times New Roman"/>
                <w:color w:val="auto"/>
                <w:sz w:val="24"/>
                <w:lang w:val="en-US" w:eastAsia="zh-CN"/>
              </w:rPr>
              <w:t>福安市青拓环保建材有限公司</w:t>
            </w:r>
            <w:r>
              <w:rPr>
                <w:rFonts w:hint="default" w:ascii="Times New Roman" w:hAnsi="Times New Roman" w:eastAsia="宋体" w:cs="Times New Roman"/>
                <w:snapToGrid w:val="0"/>
                <w:color w:val="auto"/>
                <w:kern w:val="0"/>
                <w:highlight w:val="none"/>
                <w:lang w:val="en-US" w:eastAsia="zh-CN"/>
              </w:rPr>
              <w:t>厂区内</w:t>
            </w:r>
            <w:r>
              <w:rPr>
                <w:rFonts w:hint="eastAsia" w:ascii="Times New Roman" w:hAnsi="Times New Roman" w:cs="Times New Roman"/>
                <w:snapToGrid w:val="0"/>
                <w:color w:val="auto"/>
                <w:kern w:val="0"/>
                <w:highlight w:val="none"/>
                <w:lang w:val="en-US" w:eastAsia="zh-CN"/>
              </w:rPr>
              <w:t>。</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（4）建设性质：</w:t>
            </w:r>
            <w:r>
              <w:rPr>
                <w:rFonts w:hint="eastAsia" w:ascii="Times New Roman" w:hAnsi="Times New Roman" w:eastAsia="宋体" w:cs="Times New Roman"/>
                <w:snapToGrid w:val="0"/>
                <w:color w:val="auto"/>
                <w:kern w:val="0"/>
                <w:highlight w:val="none"/>
                <w:lang w:val="en-US" w:eastAsia="zh-CN"/>
              </w:rPr>
              <w:t>技改</w:t>
            </w:r>
          </w:p>
          <w:p>
            <w:pPr>
              <w:pStyle w:val="80"/>
              <w:keepNext w:val="0"/>
              <w:keepLines w:val="0"/>
              <w:pageBreakBefore w:val="0"/>
              <w:widowControl w:val="0"/>
              <w:kinsoku/>
              <w:wordWrap/>
              <w:overflowPunct/>
              <w:topLinePunct w:val="0"/>
              <w:autoSpaceDE/>
              <w:autoSpaceDN/>
              <w:bidi w:val="0"/>
              <w:adjustRightInd w:val="0"/>
              <w:snapToGrid w:val="0"/>
              <w:ind w:left="479" w:leftChars="228" w:firstLine="0" w:firstLineChars="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（5）总 投 资：投资总额</w:t>
            </w:r>
            <w:r>
              <w:rPr>
                <w:rFonts w:hint="eastAsia" w:ascii="Times New Roman" w:hAnsi="Times New Roman" w:eastAsia="宋体" w:cs="Times New Roman"/>
                <w:snapToGrid w:val="0"/>
                <w:color w:val="auto"/>
                <w:kern w:val="0"/>
                <w:highlight w:val="none"/>
                <w:lang w:val="en-US" w:eastAsia="zh-CN"/>
              </w:rPr>
              <w:t>200</w:t>
            </w:r>
            <w:r>
              <w:rPr>
                <w:rFonts w:hint="default" w:ascii="Times New Roman" w:hAnsi="Times New Roman" w:eastAsia="宋体" w:cs="Times New Roman"/>
                <w:snapToGrid w:val="0"/>
                <w:color w:val="auto"/>
                <w:kern w:val="0"/>
                <w:highlight w:val="none"/>
                <w:lang w:val="en-US" w:eastAsia="zh-CN"/>
              </w:rPr>
              <w:t>万元，环保投资</w:t>
            </w:r>
            <w:r>
              <w:rPr>
                <w:rFonts w:hint="eastAsia" w:ascii="Times New Roman" w:hAnsi="Times New Roman" w:eastAsia="宋体" w:cs="Times New Roman"/>
                <w:snapToGrid w:val="0"/>
                <w:color w:val="auto"/>
                <w:kern w:val="0"/>
                <w:highlight w:val="none"/>
                <w:lang w:val="en-US" w:eastAsia="zh-CN"/>
              </w:rPr>
              <w:t>10</w:t>
            </w:r>
            <w:r>
              <w:rPr>
                <w:rFonts w:hint="default" w:ascii="Times New Roman" w:hAnsi="Times New Roman" w:eastAsia="宋体" w:cs="Times New Roman"/>
                <w:snapToGrid w:val="0"/>
                <w:color w:val="auto"/>
                <w:kern w:val="0"/>
                <w:highlight w:val="none"/>
                <w:lang w:val="en-US" w:eastAsia="zh-CN"/>
              </w:rPr>
              <w:t>万元，占总投资</w:t>
            </w:r>
            <w:r>
              <w:rPr>
                <w:rFonts w:hint="eastAsia" w:ascii="Times New Roman" w:hAnsi="Times New Roman" w:eastAsia="宋体" w:cs="Times New Roman"/>
                <w:snapToGrid w:val="0"/>
                <w:color w:val="auto"/>
                <w:kern w:val="0"/>
                <w:highlight w:val="none"/>
                <w:lang w:val="en-US" w:eastAsia="zh-CN"/>
              </w:rPr>
              <w:t>5</w:t>
            </w:r>
            <w:r>
              <w:rPr>
                <w:rFonts w:hint="default" w:ascii="Times New Roman" w:hAnsi="Times New Roman" w:eastAsia="宋体" w:cs="Times New Roman"/>
                <w:snapToGrid w:val="0"/>
                <w:color w:val="auto"/>
                <w:kern w:val="0"/>
                <w:highlight w:val="none"/>
                <w:lang w:val="en-US" w:eastAsia="zh-CN"/>
              </w:rPr>
              <w:t>%</w:t>
            </w:r>
            <w:r>
              <w:rPr>
                <w:rFonts w:hint="eastAsia" w:ascii="Times New Roman" w:hAnsi="Times New Roman" w:cs="Times New Roman"/>
                <w:snapToGrid w:val="0"/>
                <w:color w:val="auto"/>
                <w:kern w:val="0"/>
                <w:highlight w:val="none"/>
                <w:lang w:val="en-US" w:eastAsia="zh-CN"/>
              </w:rPr>
              <w:t>。</w:t>
            </w:r>
          </w:p>
          <w:p>
            <w:pPr>
              <w:pStyle w:val="80"/>
              <w:keepNext w:val="0"/>
              <w:keepLines w:val="0"/>
              <w:pageBreakBefore w:val="0"/>
              <w:widowControl w:val="0"/>
              <w:kinsoku/>
              <w:wordWrap/>
              <w:overflowPunct/>
              <w:topLinePunct w:val="0"/>
              <w:autoSpaceDE/>
              <w:autoSpaceDN/>
              <w:bidi w:val="0"/>
              <w:adjustRightInd w:val="0"/>
              <w:snapToGrid w:val="0"/>
              <w:ind w:left="479" w:leftChars="228" w:firstLine="0" w:firstLineChars="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（6）工程规模：建设一条</w:t>
            </w:r>
            <w:r>
              <w:rPr>
                <w:rFonts w:hint="eastAsia" w:ascii="Times New Roman" w:hAnsi="Times New Roman" w:cs="Times New Roman"/>
                <w:snapToGrid w:val="0"/>
                <w:color w:val="auto"/>
                <w:kern w:val="0"/>
                <w:highlight w:val="none"/>
                <w:lang w:val="en-US" w:eastAsia="zh-CN"/>
              </w:rPr>
              <w:t>钢渣综合利用</w:t>
            </w:r>
            <w:r>
              <w:rPr>
                <w:rFonts w:hint="eastAsia" w:ascii="Times New Roman" w:hAnsi="Times New Roman" w:eastAsia="宋体" w:cs="Times New Roman"/>
                <w:snapToGrid w:val="0"/>
                <w:color w:val="auto"/>
                <w:kern w:val="0"/>
                <w:highlight w:val="none"/>
                <w:lang w:val="en-US" w:eastAsia="zh-CN"/>
              </w:rPr>
              <w:t>生产线，生产路基垫层138t/a和钢渣细粉12t/a</w:t>
            </w:r>
            <w:r>
              <w:rPr>
                <w:rFonts w:hint="eastAsia" w:ascii="Times New Roman" w:hAnsi="Times New Roman" w:cs="Times New Roman"/>
                <w:snapToGrid w:val="0"/>
                <w:color w:val="auto"/>
                <w:kern w:val="0"/>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.2  项目组成及建设内容</w:t>
            </w:r>
          </w:p>
          <w:p>
            <w:pPr>
              <w:pStyle w:val="1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w:t>
            </w:r>
            <w:r>
              <w:rPr>
                <w:rFonts w:hint="eastAsia" w:cs="Times New Roman"/>
                <w:color w:val="auto"/>
                <w:sz w:val="24"/>
                <w:lang w:val="en-US" w:eastAsia="zh-CN"/>
              </w:rPr>
              <w:t>利用</w:t>
            </w:r>
            <w:r>
              <w:rPr>
                <w:rFonts w:hint="default" w:ascii="Times New Roman" w:hAnsi="Times New Roman" w:cs="Times New Roman"/>
                <w:color w:val="auto"/>
                <w:sz w:val="24"/>
                <w:lang w:val="en-US" w:eastAsia="zh-CN"/>
              </w:rPr>
              <w:t>公司现有</w:t>
            </w:r>
            <w:r>
              <w:rPr>
                <w:rFonts w:hint="eastAsia" w:cs="Times New Roman"/>
                <w:color w:val="auto"/>
                <w:sz w:val="24"/>
                <w:lang w:val="en-US" w:eastAsia="zh-CN"/>
              </w:rPr>
              <w:t>厂房，建设一条钢渣综合利用生产线，主要建设</w:t>
            </w:r>
            <w:r>
              <w:rPr>
                <w:rFonts w:hint="eastAsia"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台破碎机</w:t>
            </w:r>
            <w:r>
              <w:rPr>
                <w:rFonts w:hint="eastAsia"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台</w:t>
            </w:r>
            <w:r>
              <w:rPr>
                <w:rFonts w:hint="eastAsia" w:cs="Times New Roman"/>
                <w:color w:val="auto"/>
                <w:kern w:val="2"/>
                <w:sz w:val="24"/>
                <w:szCs w:val="24"/>
                <w:lang w:val="en-US" w:eastAsia="zh-CN" w:bidi="ar-SA"/>
              </w:rPr>
              <w:t>筛分机、1</w:t>
            </w:r>
            <w:r>
              <w:rPr>
                <w:rFonts w:hint="eastAsia" w:ascii="Times New Roman" w:hAnsi="Times New Roman" w:eastAsia="宋体" w:cs="Times New Roman"/>
                <w:color w:val="auto"/>
                <w:kern w:val="2"/>
                <w:sz w:val="24"/>
                <w:szCs w:val="24"/>
                <w:lang w:val="en-US" w:eastAsia="zh-CN" w:bidi="ar-SA"/>
              </w:rPr>
              <w:t>台</w:t>
            </w:r>
            <w:r>
              <w:rPr>
                <w:rFonts w:hint="eastAsia" w:cs="Times New Roman"/>
                <w:color w:val="auto"/>
                <w:kern w:val="2"/>
                <w:sz w:val="24"/>
                <w:szCs w:val="24"/>
                <w:lang w:val="en-US" w:eastAsia="zh-CN" w:bidi="ar-SA"/>
              </w:rPr>
              <w:t>搅拌机及辅助设施</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采用破碎-筛分-搅拌生产工艺，以青拓集团精炼渣磁选铁精矿后的钢渣为原料，形成</w:t>
            </w:r>
            <w:r>
              <w:rPr>
                <w:rFonts w:hint="default" w:ascii="Times New Roman" w:hAnsi="Times New Roman" w:cs="Times New Roman"/>
                <w:color w:val="auto"/>
                <w:sz w:val="24"/>
                <w:lang w:val="en-US" w:eastAsia="zh-CN"/>
              </w:rPr>
              <w:t>路基垫层138t/a和钢渣细粉12t/a，占用建筑面积2000</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cs="Times New Roman"/>
                <w:color w:val="auto"/>
                <w:sz w:val="24"/>
                <w:lang w:val="en-US" w:eastAsia="zh-CN"/>
              </w:rPr>
              <w:t>。</w:t>
            </w:r>
          </w:p>
          <w:p>
            <w:pPr>
              <w:pStyle w:val="1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cs="Times New Roman"/>
                <w:color w:val="auto"/>
                <w:kern w:val="2"/>
                <w:sz w:val="24"/>
                <w:szCs w:val="24"/>
                <w:lang w:val="en-US" w:eastAsia="zh-CN" w:bidi="ar-SA"/>
              </w:rPr>
            </w:pPr>
            <w:r>
              <w:rPr>
                <w:rFonts w:hint="default" w:ascii="Times New Roman" w:hAnsi="Times New Roman" w:cs="Times New Roman"/>
                <w:color w:val="auto"/>
                <w:sz w:val="24"/>
                <w:lang w:val="en-US" w:eastAsia="zh-CN"/>
              </w:rPr>
              <w:t>本项目是将矿渣堆棚内已停用的机制砂生产线进行技术改造，</w:t>
            </w:r>
            <w:r>
              <w:rPr>
                <w:rFonts w:hint="eastAsia" w:cs="Times New Roman"/>
                <w:color w:val="auto"/>
                <w:spacing w:val="4"/>
                <w:kern w:val="0"/>
                <w:sz w:val="24"/>
                <w:highlight w:val="none"/>
                <w:lang w:val="en-US" w:eastAsia="zh-CN"/>
              </w:rPr>
              <w:t>机制砂生产线于2018年年底建成，2019年初停产，</w:t>
            </w:r>
            <w:r>
              <w:rPr>
                <w:rFonts w:hint="eastAsia" w:ascii="Times New Roman" w:hAnsi="Times New Roman" w:eastAsia="宋体" w:cs="Times New Roman"/>
                <w:color w:val="auto"/>
                <w:kern w:val="2"/>
                <w:sz w:val="24"/>
                <w:szCs w:val="24"/>
                <w:lang w:val="en-US" w:eastAsia="zh-CN" w:bidi="ar-SA"/>
              </w:rPr>
              <w:t>占地</w:t>
            </w:r>
            <w:r>
              <w:rPr>
                <w:rFonts w:hint="eastAsia" w:cs="Times New Roman"/>
                <w:color w:val="auto"/>
                <w:kern w:val="2"/>
                <w:sz w:val="24"/>
                <w:szCs w:val="24"/>
                <w:lang w:val="en-US" w:eastAsia="zh-CN" w:bidi="ar-SA"/>
              </w:rPr>
              <w:t>面积2000</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现有1</w:t>
            </w:r>
            <w:r>
              <w:rPr>
                <w:rFonts w:hint="eastAsia" w:ascii="Times New Roman" w:hAnsi="Times New Roman" w:eastAsia="宋体" w:cs="Times New Roman"/>
                <w:color w:val="auto"/>
                <w:kern w:val="2"/>
                <w:sz w:val="24"/>
                <w:szCs w:val="24"/>
                <w:lang w:val="en-US" w:eastAsia="zh-CN" w:bidi="ar-SA"/>
              </w:rPr>
              <w:t>台破碎机</w:t>
            </w:r>
            <w:r>
              <w:rPr>
                <w:rFonts w:hint="eastAsia" w:cs="Times New Roman"/>
                <w:color w:val="auto"/>
                <w:kern w:val="2"/>
                <w:sz w:val="24"/>
                <w:szCs w:val="24"/>
                <w:lang w:val="en-US" w:eastAsia="zh-CN" w:bidi="ar-SA"/>
              </w:rPr>
              <w:t>和1</w:t>
            </w:r>
            <w:r>
              <w:rPr>
                <w:rFonts w:hint="eastAsia" w:ascii="Times New Roman" w:hAnsi="Times New Roman" w:eastAsia="宋体" w:cs="Times New Roman"/>
                <w:color w:val="auto"/>
                <w:kern w:val="2"/>
                <w:sz w:val="24"/>
                <w:szCs w:val="24"/>
                <w:lang w:val="en-US" w:eastAsia="zh-CN" w:bidi="ar-SA"/>
              </w:rPr>
              <w:t>台振动筛</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本次技改</w:t>
            </w:r>
            <w:r>
              <w:rPr>
                <w:rFonts w:hint="eastAsia" w:cs="Times New Roman"/>
                <w:color w:val="auto"/>
                <w:kern w:val="2"/>
                <w:sz w:val="24"/>
                <w:szCs w:val="24"/>
                <w:lang w:val="en-US" w:eastAsia="zh-CN" w:bidi="ar-SA"/>
              </w:rPr>
              <w:t>将</w:t>
            </w:r>
            <w:r>
              <w:rPr>
                <w:rFonts w:hint="eastAsia" w:ascii="Times New Roman" w:hAnsi="Times New Roman" w:eastAsia="宋体" w:cs="Times New Roman"/>
                <w:color w:val="auto"/>
                <w:kern w:val="2"/>
                <w:sz w:val="24"/>
                <w:szCs w:val="24"/>
                <w:lang w:val="en-US" w:eastAsia="zh-CN" w:bidi="ar-SA"/>
              </w:rPr>
              <w:t>现有设备</w:t>
            </w:r>
            <w:r>
              <w:rPr>
                <w:rFonts w:hint="eastAsia" w:cs="Times New Roman"/>
                <w:color w:val="auto"/>
                <w:kern w:val="2"/>
                <w:sz w:val="24"/>
                <w:szCs w:val="24"/>
                <w:lang w:val="en-US" w:eastAsia="zh-CN" w:bidi="ar-SA"/>
              </w:rPr>
              <w:t>全部拆除</w:t>
            </w:r>
            <w:r>
              <w:rPr>
                <w:rFonts w:hint="eastAsia" w:ascii="Times New Roman" w:hAnsi="Times New Roman" w:eastAsia="宋体" w:cs="Times New Roman"/>
                <w:color w:val="auto"/>
                <w:kern w:val="2"/>
                <w:sz w:val="24"/>
                <w:szCs w:val="24"/>
                <w:lang w:val="en-US" w:eastAsia="zh-CN" w:bidi="ar-SA"/>
              </w:rPr>
              <w:t>，利用</w:t>
            </w:r>
            <w:r>
              <w:rPr>
                <w:rFonts w:hint="eastAsia" w:cs="Times New Roman"/>
                <w:color w:val="auto"/>
                <w:kern w:val="2"/>
                <w:sz w:val="24"/>
                <w:szCs w:val="24"/>
                <w:lang w:val="en-US" w:eastAsia="zh-CN" w:bidi="ar-SA"/>
              </w:rPr>
              <w:t>其</w:t>
            </w:r>
            <w:r>
              <w:rPr>
                <w:rFonts w:hint="eastAsia" w:ascii="Times New Roman" w:hAnsi="Times New Roman" w:eastAsia="宋体" w:cs="Times New Roman"/>
                <w:color w:val="auto"/>
                <w:kern w:val="2"/>
                <w:sz w:val="24"/>
                <w:szCs w:val="24"/>
                <w:lang w:val="en-US" w:eastAsia="zh-CN" w:bidi="ar-SA"/>
              </w:rPr>
              <w:t>生产</w:t>
            </w:r>
            <w:r>
              <w:rPr>
                <w:rFonts w:hint="eastAsia" w:cs="Times New Roman"/>
                <w:color w:val="auto"/>
                <w:kern w:val="2"/>
                <w:sz w:val="24"/>
                <w:szCs w:val="24"/>
                <w:lang w:val="en-US" w:eastAsia="zh-CN" w:bidi="ar-SA"/>
              </w:rPr>
              <w:t>场地。</w:t>
            </w:r>
          </w:p>
          <w:p>
            <w:pPr>
              <w:pStyle w:val="1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项目组成及建设内容见表2.</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-1。</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-1  工程项目组成及建设内容一览表</w:t>
            </w:r>
          </w:p>
          <w:tbl>
            <w:tblPr>
              <w:tblStyle w:val="3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503"/>
              <w:gridCol w:w="5526"/>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类别</w:t>
                  </w: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名称</w:t>
                  </w:r>
                </w:p>
              </w:tc>
              <w:tc>
                <w:tcPr>
                  <w:tcW w:w="3213"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建设内容</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39"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主体</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工程</w:t>
                  </w:r>
                </w:p>
              </w:tc>
              <w:tc>
                <w:tcPr>
                  <w:tcW w:w="874"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钢渣综合利用车间</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olor w:val="auto"/>
                      <w:highlight w:val="none"/>
                      <w:lang w:val="en-US" w:eastAsia="zh-CN"/>
                    </w:rPr>
                  </w:pPr>
                  <w:r>
                    <w:rPr>
                      <w:rFonts w:hint="eastAsia"/>
                      <w:color w:val="auto"/>
                      <w:highlight w:val="none"/>
                      <w:lang w:val="en-US" w:eastAsia="zh-CN"/>
                    </w:rPr>
                    <w:t>原有矿渣堆棚</w:t>
                  </w:r>
                  <w:r>
                    <w:rPr>
                      <w:rFonts w:hint="eastAsia" w:ascii="宋体" w:hAnsi="宋体" w:eastAsia="宋体" w:cs="宋体"/>
                      <w:color w:val="auto"/>
                      <w:kern w:val="0"/>
                      <w:sz w:val="21"/>
                      <w:szCs w:val="21"/>
                      <w:lang w:val="en-US" w:eastAsia="zh-CN" w:bidi="ar"/>
                    </w:rPr>
                    <w:t>面积</w:t>
                  </w:r>
                  <w:r>
                    <w:rPr>
                      <w:rFonts w:hint="default" w:ascii="Times New Roman" w:hAnsi="Times New Roman" w:eastAsia="宋体" w:cs="Times New Roman"/>
                      <w:color w:val="auto"/>
                      <w:kern w:val="0"/>
                      <w:sz w:val="21"/>
                      <w:szCs w:val="21"/>
                      <w:lang w:val="en-US" w:eastAsia="zh-CN" w:bidi="ar"/>
                    </w:rPr>
                    <w:t>26568m</w:t>
                  </w:r>
                  <w:r>
                    <w:rPr>
                      <w:rFonts w:hint="default"/>
                      <w:color w:val="auto"/>
                      <w:vertAlign w:val="superscript"/>
                      <w:lang w:val="en-US" w:eastAsia="zh-CN"/>
                    </w:rPr>
                    <w:t>2</w:t>
                  </w:r>
                  <w:r>
                    <w:rPr>
                      <w:rFonts w:hint="eastAsia"/>
                      <w:color w:val="auto"/>
                      <w:highlight w:val="none"/>
                      <w:lang w:val="en-US" w:eastAsia="zh-CN"/>
                    </w:rPr>
                    <w:t>，划出2000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区域建设机制砂生产线，机制砂生产线已建成处于停用状态。现利用已停用的机制砂生产线生产场地，建设一条钢渣综合利用</w:t>
                  </w:r>
                  <w:r>
                    <w:rPr>
                      <w:rFonts w:hint="eastAsia"/>
                      <w:color w:val="auto"/>
                      <w:highlight w:val="none"/>
                    </w:rPr>
                    <w:t>生产线，</w:t>
                  </w:r>
                  <w:r>
                    <w:rPr>
                      <w:rFonts w:hint="eastAsia"/>
                      <w:color w:val="auto"/>
                      <w:highlight w:val="none"/>
                      <w:lang w:val="en-US" w:eastAsia="zh-CN"/>
                    </w:rPr>
                    <w:t>年产12万吨钢渣细粉和138万吨路基垫层，占地面积2000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eastAsia="zh-CN"/>
                    </w:rPr>
                    <w:t>。</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pPr>
                </w:p>
              </w:tc>
              <w:tc>
                <w:tcPr>
                  <w:tcW w:w="874"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pP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color w:val="auto"/>
                      <w:highlight w:val="none"/>
                      <w:lang w:val="en-US" w:eastAsia="zh-CN"/>
                    </w:rPr>
                  </w:pPr>
                  <w:r>
                    <w:rPr>
                      <w:rFonts w:hint="eastAsia"/>
                      <w:color w:val="auto"/>
                      <w:highlight w:val="none"/>
                      <w:lang w:val="en-US" w:eastAsia="zh-CN"/>
                    </w:rPr>
                    <w:t>新增设备包括1台搅拌机、2台破碎机、1台筛分机等；</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olor w:val="auto"/>
                      <w:highlight w:val="none"/>
                      <w:lang w:val="en-US" w:eastAsia="zh-CN"/>
                    </w:rPr>
                  </w:pPr>
                  <w:r>
                    <w:rPr>
                      <w:rFonts w:hint="eastAsia" w:cs="Times New Roman"/>
                      <w:i w:val="0"/>
                      <w:color w:val="auto"/>
                      <w:kern w:val="0"/>
                      <w:sz w:val="21"/>
                      <w:szCs w:val="21"/>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olor w:val="0000FF"/>
                      <w:lang w:val="en-US" w:eastAsia="zh-CN"/>
                    </w:rPr>
                  </w:pPr>
                  <w:r>
                    <w:rPr>
                      <w:rFonts w:hint="eastAsia"/>
                      <w:color w:val="auto"/>
                      <w:lang w:val="en-US" w:eastAsia="zh-CN"/>
                    </w:rPr>
                    <w:t>原料堆场</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olor w:val="auto"/>
                      <w:highlight w:val="none"/>
                      <w:lang w:val="en-US" w:eastAsia="zh-CN"/>
                    </w:rPr>
                  </w:pPr>
                  <w:r>
                    <w:rPr>
                      <w:rFonts w:hint="eastAsia"/>
                      <w:color w:val="auto"/>
                      <w:highlight w:val="none"/>
                      <w:lang w:val="en-US" w:eastAsia="zh-CN"/>
                    </w:rPr>
                    <w:t>在</w:t>
                  </w:r>
                  <w:r>
                    <w:rPr>
                      <w:rFonts w:hint="eastAsia" w:cs="Times New Roman"/>
                      <w:i w:val="0"/>
                      <w:color w:val="auto"/>
                      <w:kern w:val="0"/>
                      <w:sz w:val="21"/>
                      <w:szCs w:val="21"/>
                      <w:u w:val="none"/>
                      <w:lang w:val="en-US" w:eastAsia="zh-CN" w:bidi="ar"/>
                    </w:rPr>
                    <w:t>钢渣综合利用车间</w:t>
                  </w:r>
                  <w:r>
                    <w:rPr>
                      <w:rFonts w:hint="eastAsia"/>
                      <w:color w:val="auto"/>
                      <w:highlight w:val="none"/>
                      <w:lang w:val="en-US" w:eastAsia="zh-CN"/>
                    </w:rPr>
                    <w:t>南侧新建一个半封闭的本项目原料堆场，三面围挡，设置洒水设施抑尘；</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eastAsia="宋体"/>
                      <w:color w:val="auto"/>
                      <w:lang w:val="en-US" w:eastAsia="zh-CN"/>
                    </w:rPr>
                  </w:pPr>
                  <w:r>
                    <w:rPr>
                      <w:rFonts w:hint="eastAsia"/>
                      <w:color w:val="auto"/>
                      <w:lang w:val="en-US" w:eastAsia="zh-CN"/>
                    </w:rPr>
                    <w:t>成品堆场</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olor w:val="auto"/>
                      <w:highlight w:val="none"/>
                      <w:lang w:val="en-US" w:eastAsia="zh-CN"/>
                    </w:rPr>
                  </w:pPr>
                  <w:r>
                    <w:rPr>
                      <w:rFonts w:hint="eastAsia"/>
                      <w:color w:val="auto"/>
                      <w:highlight w:val="none"/>
                      <w:lang w:val="en-US" w:eastAsia="zh-CN"/>
                    </w:rPr>
                    <w:t>在</w:t>
                  </w:r>
                  <w:r>
                    <w:rPr>
                      <w:rFonts w:hint="eastAsia" w:cs="Times New Roman"/>
                      <w:i w:val="0"/>
                      <w:color w:val="auto"/>
                      <w:kern w:val="0"/>
                      <w:sz w:val="21"/>
                      <w:szCs w:val="21"/>
                      <w:u w:val="none"/>
                      <w:lang w:val="en-US" w:eastAsia="zh-CN" w:bidi="ar"/>
                    </w:rPr>
                    <w:t>钢渣综合利用车间</w:t>
                  </w:r>
                  <w:r>
                    <w:rPr>
                      <w:rFonts w:hint="eastAsia"/>
                      <w:color w:val="auto"/>
                      <w:highlight w:val="none"/>
                      <w:lang w:val="en-US" w:eastAsia="zh-CN"/>
                    </w:rPr>
                    <w:t>东北侧新建两个半封闭的成品堆场，分别是1个钢渣细粉堆场（90</w:t>
                  </w:r>
                  <w:r>
                    <w:rPr>
                      <w:rFonts w:hint="default" w:cs="Times New Roman"/>
                      <w:i w:val="0"/>
                      <w:color w:val="auto"/>
                      <w:kern w:val="0"/>
                      <w:sz w:val="21"/>
                      <w:szCs w:val="21"/>
                      <w:highlight w:val="none"/>
                      <w:u w:val="none"/>
                      <w:lang w:val="en-US" w:eastAsia="zh-CN" w:bidi="ar"/>
                    </w:rPr>
                    <w:t>m</w:t>
                  </w:r>
                  <w:r>
                    <w:rPr>
                      <w:rFonts w:hint="default" w:cs="Times New Roman"/>
                      <w:i w:val="0"/>
                      <w:color w:val="auto"/>
                      <w:kern w:val="0"/>
                      <w:sz w:val="21"/>
                      <w:szCs w:val="21"/>
                      <w:highlight w:val="none"/>
                      <w:u w:val="none"/>
                      <w:vertAlign w:val="superscript"/>
                      <w:lang w:val="en-US" w:eastAsia="zh-CN" w:bidi="ar"/>
                    </w:rPr>
                    <w:t>2</w:t>
                  </w:r>
                  <w:r>
                    <w:rPr>
                      <w:rFonts w:hint="eastAsia"/>
                      <w:color w:val="auto"/>
                      <w:highlight w:val="none"/>
                      <w:lang w:val="en-US" w:eastAsia="zh-CN"/>
                    </w:rPr>
                    <w:t>）和1个路基垫层堆场（240</w:t>
                  </w:r>
                  <w:r>
                    <w:rPr>
                      <w:rFonts w:hint="default" w:cs="Times New Roman"/>
                      <w:i w:val="0"/>
                      <w:color w:val="auto"/>
                      <w:kern w:val="0"/>
                      <w:sz w:val="21"/>
                      <w:szCs w:val="21"/>
                      <w:highlight w:val="none"/>
                      <w:u w:val="none"/>
                      <w:lang w:val="en-US" w:eastAsia="zh-CN" w:bidi="ar"/>
                    </w:rPr>
                    <w:t>m</w:t>
                  </w:r>
                  <w:r>
                    <w:rPr>
                      <w:rFonts w:hint="default" w:cs="Times New Roman"/>
                      <w:i w:val="0"/>
                      <w:color w:val="auto"/>
                      <w:kern w:val="0"/>
                      <w:sz w:val="21"/>
                      <w:szCs w:val="21"/>
                      <w:highlight w:val="none"/>
                      <w:u w:val="none"/>
                      <w:vertAlign w:val="superscript"/>
                      <w:lang w:val="en-US" w:eastAsia="zh-CN" w:bidi="ar"/>
                    </w:rPr>
                    <w:t>2</w:t>
                  </w:r>
                  <w:r>
                    <w:rPr>
                      <w:rFonts w:hint="eastAsia"/>
                      <w:color w:val="auto"/>
                      <w:highlight w:val="none"/>
                      <w:lang w:val="en-US" w:eastAsia="zh-CN"/>
                    </w:rPr>
                    <w:t>），设置洒水设施抑尘</w:t>
                  </w:r>
                  <w:r>
                    <w:rPr>
                      <w:rFonts w:hint="eastAsia" w:cs="Times New Roman"/>
                      <w:i w:val="0"/>
                      <w:color w:val="auto"/>
                      <w:kern w:val="0"/>
                      <w:sz w:val="21"/>
                      <w:szCs w:val="21"/>
                      <w:highlight w:val="none"/>
                      <w:u w:val="none"/>
                      <w:lang w:val="en-US" w:eastAsia="zh-CN" w:bidi="ar"/>
                    </w:rPr>
                    <w:t>。</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olor w:val="auto"/>
                      <w:highlight w:val="none"/>
                      <w:lang w:val="en-US" w:eastAsia="zh-CN"/>
                    </w:rPr>
                  </w:pPr>
                  <w:r>
                    <w:rPr>
                      <w:rFonts w:hint="eastAsia" w:cs="Times New Roman"/>
                      <w:i w:val="0"/>
                      <w:color w:val="auto"/>
                      <w:kern w:val="0"/>
                      <w:sz w:val="21"/>
                      <w:szCs w:val="21"/>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公辅工程</w:t>
                  </w: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办公楼</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原有办公楼长</w:t>
                  </w:r>
                  <w:r>
                    <w:rPr>
                      <w:rFonts w:hint="default" w:cs="Times New Roman"/>
                      <w:i w:val="0"/>
                      <w:color w:val="auto"/>
                      <w:kern w:val="0"/>
                      <w:sz w:val="21"/>
                      <w:szCs w:val="21"/>
                      <w:u w:val="none"/>
                      <w:lang w:val="en-US" w:eastAsia="zh-CN" w:bidi="ar"/>
                    </w:rPr>
                    <w:t>40.6m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19m</w:t>
                  </w:r>
                  <w:r>
                    <w:rPr>
                      <w:rFonts w:hint="eastAsia" w:cs="Times New Roman"/>
                      <w:i w:val="0"/>
                      <w:color w:val="auto"/>
                      <w:kern w:val="0"/>
                      <w:sz w:val="21"/>
                      <w:szCs w:val="21"/>
                      <w:u w:val="none"/>
                      <w:lang w:val="en-US" w:eastAsia="zh-CN" w:bidi="ar"/>
                    </w:rPr>
                    <w:t>，五层，总高约</w:t>
                  </w:r>
                  <w:r>
                    <w:rPr>
                      <w:rFonts w:hint="default" w:cs="Times New Roman"/>
                      <w:i w:val="0"/>
                      <w:color w:val="auto"/>
                      <w:kern w:val="0"/>
                      <w:sz w:val="21"/>
                      <w:szCs w:val="21"/>
                      <w:u w:val="none"/>
                      <w:lang w:val="en-US" w:eastAsia="zh-CN" w:bidi="ar"/>
                    </w:rPr>
                    <w:t>20m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3857m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循环水泵房</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原有循环水泵房：长</w:t>
                  </w:r>
                  <w:r>
                    <w:rPr>
                      <w:rFonts w:hint="default" w:cs="Times New Roman"/>
                      <w:i w:val="0"/>
                      <w:color w:val="auto"/>
                      <w:kern w:val="0"/>
                      <w:sz w:val="21"/>
                      <w:szCs w:val="21"/>
                      <w:u w:val="none"/>
                      <w:lang w:val="en-US" w:eastAsia="zh-CN" w:bidi="ar"/>
                    </w:rPr>
                    <w:t>10.0m</w:t>
                  </w:r>
                  <w:r>
                    <w:rPr>
                      <w:rFonts w:hint="eastAsia" w:cs="Times New Roman"/>
                      <w:i w:val="0"/>
                      <w:color w:val="auto"/>
                      <w:kern w:val="0"/>
                      <w:sz w:val="21"/>
                      <w:szCs w:val="21"/>
                      <w:u w:val="none"/>
                      <w:lang w:val="en-US" w:eastAsia="zh-CN" w:bidi="ar"/>
                    </w:rPr>
                    <w:t xml:space="preserve">、宽 </w:t>
                  </w:r>
                  <w:r>
                    <w:rPr>
                      <w:rFonts w:hint="default" w:cs="Times New Roman"/>
                      <w:i w:val="0"/>
                      <w:color w:val="auto"/>
                      <w:kern w:val="0"/>
                      <w:sz w:val="21"/>
                      <w:szCs w:val="21"/>
                      <w:u w:val="none"/>
                      <w:lang w:val="en-US" w:eastAsia="zh-CN" w:bidi="ar"/>
                    </w:rPr>
                    <w:t>5.0m</w:t>
                  </w:r>
                  <w:r>
                    <w:rPr>
                      <w:rFonts w:hint="eastAsia" w:cs="Times New Roman"/>
                      <w:i w:val="0"/>
                      <w:color w:val="auto"/>
                      <w:kern w:val="0"/>
                      <w:sz w:val="21"/>
                      <w:szCs w:val="21"/>
                      <w:u w:val="none"/>
                      <w:lang w:val="en-US" w:eastAsia="zh-CN" w:bidi="ar"/>
                    </w:rPr>
                    <w:t>，单层约</w:t>
                  </w:r>
                  <w:r>
                    <w:rPr>
                      <w:rFonts w:hint="default" w:cs="Times New Roman"/>
                      <w:i w:val="0"/>
                      <w:color w:val="auto"/>
                      <w:kern w:val="0"/>
                      <w:sz w:val="21"/>
                      <w:szCs w:val="21"/>
                      <w:u w:val="none"/>
                      <w:lang w:val="en-US" w:eastAsia="zh-CN" w:bidi="ar"/>
                    </w:rPr>
                    <w:t>5.0m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50.0m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；冷却塔</w:t>
                  </w:r>
                  <w:r>
                    <w:rPr>
                      <w:rFonts w:hint="default" w:cs="Times New Roman"/>
                      <w:i w:val="0"/>
                      <w:color w:val="auto"/>
                      <w:kern w:val="0"/>
                      <w:sz w:val="21"/>
                      <w:szCs w:val="21"/>
                      <w:u w:val="none"/>
                      <w:lang w:val="en-US" w:eastAsia="zh-CN" w:bidi="ar"/>
                    </w:rPr>
                    <w:t>2</w:t>
                  </w:r>
                  <w:r>
                    <w:rPr>
                      <w:rFonts w:hint="eastAsia" w:cs="Times New Roman"/>
                      <w:i w:val="0"/>
                      <w:color w:val="auto"/>
                      <w:kern w:val="0"/>
                      <w:sz w:val="21"/>
                      <w:szCs w:val="21"/>
                      <w:u w:val="none"/>
                      <w:lang w:val="en-US" w:eastAsia="zh-CN" w:bidi="ar"/>
                    </w:rPr>
                    <w:t>台；循环水池长</w:t>
                  </w:r>
                  <w:r>
                    <w:rPr>
                      <w:rFonts w:hint="default" w:cs="Times New Roman"/>
                      <w:i w:val="0"/>
                      <w:color w:val="auto"/>
                      <w:kern w:val="0"/>
                      <w:sz w:val="21"/>
                      <w:szCs w:val="21"/>
                      <w:u w:val="none"/>
                      <w:lang w:val="en-US" w:eastAsia="zh-CN" w:bidi="ar"/>
                    </w:rPr>
                    <w:t>6.4m</w:t>
                  </w:r>
                  <w:r>
                    <w:rPr>
                      <w:rFonts w:hint="eastAsia" w:cs="Times New Roman"/>
                      <w:i w:val="0"/>
                      <w:color w:val="auto"/>
                      <w:kern w:val="0"/>
                      <w:sz w:val="21"/>
                      <w:szCs w:val="21"/>
                      <w:u w:val="none"/>
                      <w:lang w:val="en-US" w:eastAsia="zh-CN" w:bidi="ar"/>
                    </w:rPr>
                    <w:t xml:space="preserve">、宽 </w:t>
                  </w:r>
                  <w:r>
                    <w:rPr>
                      <w:rFonts w:hint="default" w:cs="Times New Roman"/>
                      <w:i w:val="0"/>
                      <w:color w:val="auto"/>
                      <w:kern w:val="0"/>
                      <w:sz w:val="21"/>
                      <w:szCs w:val="21"/>
                      <w:u w:val="none"/>
                      <w:lang w:val="en-US" w:eastAsia="zh-CN" w:bidi="ar"/>
                    </w:rPr>
                    <w:t>3.2m.</w:t>
                  </w:r>
                  <w:r>
                    <w:rPr>
                      <w:rFonts w:hint="eastAsia" w:cs="Times New Roman"/>
                      <w:i w:val="0"/>
                      <w:color w:val="auto"/>
                      <w:kern w:val="0"/>
                      <w:sz w:val="21"/>
                      <w:szCs w:val="21"/>
                      <w:u w:val="none"/>
                      <w:lang w:val="en-US" w:eastAsia="zh-CN" w:bidi="ar"/>
                    </w:rPr>
                    <w:t>、水池深</w:t>
                  </w:r>
                  <w:r>
                    <w:rPr>
                      <w:rFonts w:hint="default" w:cs="Times New Roman"/>
                      <w:i w:val="0"/>
                      <w:color w:val="auto"/>
                      <w:kern w:val="0"/>
                      <w:sz w:val="21"/>
                      <w:szCs w:val="21"/>
                      <w:u w:val="none"/>
                      <w:lang w:val="en-US" w:eastAsia="zh-CN" w:bidi="ar"/>
                    </w:rPr>
                    <w:t>3.0m</w:t>
                  </w:r>
                  <w:r>
                    <w:rPr>
                      <w:rFonts w:hint="eastAsia" w:cs="Times New Roman"/>
                      <w:i w:val="0"/>
                      <w:color w:val="auto"/>
                      <w:kern w:val="0"/>
                      <w:sz w:val="21"/>
                      <w:szCs w:val="21"/>
                      <w:u w:val="none"/>
                      <w:lang w:val="en-US" w:eastAsia="zh-CN" w:bidi="ar"/>
                    </w:rPr>
                    <w:t xml:space="preserve">。 </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生产电气室</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原有生产电气室，长</w:t>
                  </w:r>
                  <w:r>
                    <w:rPr>
                      <w:rFonts w:hint="default" w:cs="Times New Roman"/>
                      <w:i w:val="0"/>
                      <w:color w:val="auto"/>
                      <w:kern w:val="0"/>
                      <w:sz w:val="21"/>
                      <w:szCs w:val="21"/>
                      <w:u w:val="none"/>
                      <w:lang w:val="en-US" w:eastAsia="zh-CN" w:bidi="ar"/>
                    </w:rPr>
                    <w:t>21.14m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19.83m</w:t>
                  </w:r>
                  <w:r>
                    <w:rPr>
                      <w:rFonts w:hint="eastAsia" w:cs="Times New Roman"/>
                      <w:i w:val="0"/>
                      <w:color w:val="auto"/>
                      <w:kern w:val="0"/>
                      <w:sz w:val="21"/>
                      <w:szCs w:val="21"/>
                      <w:u w:val="none"/>
                      <w:lang w:val="en-US" w:eastAsia="zh-CN" w:bidi="ar"/>
                    </w:rPr>
                    <w:t>，变压器室部分高</w:t>
                  </w:r>
                  <w:r>
                    <w:rPr>
                      <w:rFonts w:hint="default" w:cs="Times New Roman"/>
                      <w:i w:val="0"/>
                      <w:color w:val="auto"/>
                      <w:kern w:val="0"/>
                      <w:sz w:val="21"/>
                      <w:szCs w:val="21"/>
                      <w:u w:val="none"/>
                      <w:lang w:val="en-US" w:eastAsia="zh-CN" w:bidi="ar"/>
                    </w:rPr>
                    <w:t>5.5m</w:t>
                  </w:r>
                  <w:r>
                    <w:rPr>
                      <w:rFonts w:hint="eastAsia" w:cs="Times New Roman"/>
                      <w:i w:val="0"/>
                      <w:color w:val="auto"/>
                      <w:kern w:val="0"/>
                      <w:sz w:val="21"/>
                      <w:szCs w:val="21"/>
                      <w:u w:val="none"/>
                      <w:lang w:val="en-US" w:eastAsia="zh-CN" w:bidi="ar"/>
                    </w:rPr>
                    <w:t>，电气室高</w:t>
                  </w:r>
                  <w:r>
                    <w:rPr>
                      <w:rFonts w:hint="default" w:cs="Times New Roman"/>
                      <w:i w:val="0"/>
                      <w:color w:val="auto"/>
                      <w:kern w:val="0"/>
                      <w:sz w:val="21"/>
                      <w:szCs w:val="21"/>
                      <w:u w:val="none"/>
                      <w:lang w:val="en-US" w:eastAsia="zh-CN" w:bidi="ar"/>
                    </w:rPr>
                    <w:t>5.5m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419.2m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 xml:space="preserve">。 </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供电设施</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从鼎信科技引入电源</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消防设施</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原有消防水池占地面积约</w:t>
                  </w:r>
                  <w:r>
                    <w:rPr>
                      <w:rFonts w:hint="default" w:cs="Times New Roman"/>
                      <w:i w:val="0"/>
                      <w:color w:val="auto"/>
                      <w:kern w:val="0"/>
                      <w:sz w:val="21"/>
                      <w:szCs w:val="21"/>
                      <w:u w:val="none"/>
                      <w:lang w:val="en-US" w:eastAsia="zh-CN" w:bidi="ar"/>
                    </w:rPr>
                    <w:t>60.0m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，池长</w:t>
                  </w:r>
                  <w:r>
                    <w:rPr>
                      <w:rFonts w:hint="default" w:cs="Times New Roman"/>
                      <w:i w:val="0"/>
                      <w:color w:val="auto"/>
                      <w:kern w:val="0"/>
                      <w:sz w:val="21"/>
                      <w:szCs w:val="21"/>
                      <w:u w:val="none"/>
                      <w:lang w:val="en-US" w:eastAsia="zh-CN" w:bidi="ar"/>
                    </w:rPr>
                    <w:t>11.0m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11.0m.</w:t>
                  </w:r>
                  <w:r>
                    <w:rPr>
                      <w:rFonts w:hint="eastAsia" w:cs="Times New Roman"/>
                      <w:i w:val="0"/>
                      <w:color w:val="auto"/>
                      <w:kern w:val="0"/>
                      <w:sz w:val="21"/>
                      <w:szCs w:val="21"/>
                      <w:u w:val="none"/>
                      <w:lang w:val="en-US" w:eastAsia="zh-CN" w:bidi="ar"/>
                    </w:rPr>
                    <w:t>、水池深</w:t>
                  </w:r>
                  <w:r>
                    <w:rPr>
                      <w:rFonts w:hint="default" w:cs="Times New Roman"/>
                      <w:i w:val="0"/>
                      <w:color w:val="auto"/>
                      <w:kern w:val="0"/>
                      <w:sz w:val="21"/>
                      <w:szCs w:val="21"/>
                      <w:u w:val="none"/>
                      <w:lang w:val="en-US" w:eastAsia="zh-CN" w:bidi="ar"/>
                    </w:rPr>
                    <w:t>3.5m</w:t>
                  </w:r>
                  <w:r>
                    <w:rPr>
                      <w:rFonts w:hint="eastAsia" w:cs="Times New Roman"/>
                      <w:i w:val="0"/>
                      <w:color w:val="auto"/>
                      <w:kern w:val="0"/>
                      <w:sz w:val="21"/>
                      <w:szCs w:val="21"/>
                      <w:u w:val="none"/>
                      <w:lang w:val="en-US" w:eastAsia="zh-CN" w:bidi="ar"/>
                    </w:rPr>
                    <w:t>，设置室外消火栓。</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给排水设施</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给水设施：循环冷却水系统、消防给水系统、生产给水系统；</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 xml:space="preserve">排水设施：生产排水系统、雨水排水系统。 </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机修</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原有机修车间长</w:t>
                  </w:r>
                  <w:r>
                    <w:rPr>
                      <w:rFonts w:hint="default" w:cs="Times New Roman"/>
                      <w:i w:val="0"/>
                      <w:color w:val="auto"/>
                      <w:kern w:val="0"/>
                      <w:sz w:val="21"/>
                      <w:szCs w:val="21"/>
                      <w:u w:val="none"/>
                      <w:lang w:val="en-US" w:eastAsia="zh-CN" w:bidi="ar"/>
                    </w:rPr>
                    <w:t>23.8m</w:t>
                  </w:r>
                  <w:r>
                    <w:rPr>
                      <w:rFonts w:hint="eastAsia" w:cs="Times New Roman"/>
                      <w:i w:val="0"/>
                      <w:color w:val="auto"/>
                      <w:kern w:val="0"/>
                      <w:sz w:val="21"/>
                      <w:szCs w:val="21"/>
                      <w:u w:val="none"/>
                      <w:lang w:val="en-US" w:eastAsia="zh-CN" w:bidi="ar"/>
                    </w:rPr>
                    <w:t xml:space="preserve">，宽 </w:t>
                  </w:r>
                  <w:r>
                    <w:rPr>
                      <w:rFonts w:hint="default" w:cs="Times New Roman"/>
                      <w:i w:val="0"/>
                      <w:color w:val="auto"/>
                      <w:kern w:val="0"/>
                      <w:sz w:val="21"/>
                      <w:szCs w:val="21"/>
                      <w:u w:val="none"/>
                      <w:lang w:val="en-US" w:eastAsia="zh-CN" w:bidi="ar"/>
                    </w:rPr>
                    <w:t>16.9m</w:t>
                  </w:r>
                  <w:r>
                    <w:rPr>
                      <w:rFonts w:hint="eastAsia" w:cs="Times New Roman"/>
                      <w:i w:val="0"/>
                      <w:color w:val="auto"/>
                      <w:kern w:val="0"/>
                      <w:sz w:val="21"/>
                      <w:szCs w:val="21"/>
                      <w:u w:val="none"/>
                      <w:lang w:val="en-US" w:eastAsia="zh-CN" w:bidi="ar"/>
                    </w:rPr>
                    <w:t>，单层，轴线面积</w:t>
                  </w:r>
                  <w:r>
                    <w:rPr>
                      <w:rFonts w:hint="default" w:cs="Times New Roman"/>
                      <w:i w:val="0"/>
                      <w:color w:val="auto"/>
                      <w:kern w:val="0"/>
                      <w:sz w:val="21"/>
                      <w:szCs w:val="21"/>
                      <w:u w:val="none"/>
                      <w:lang w:val="en-US" w:eastAsia="zh-CN" w:bidi="ar"/>
                    </w:rPr>
                    <w:t>402m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运输工程</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废渣运入：废渣由运输车运输至厂内堆渣棚；</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 xml:space="preserve">产品外运：大部分产品依托青拓物流 </w:t>
                  </w:r>
                  <w:r>
                    <w:rPr>
                      <w:rFonts w:hint="default" w:cs="Times New Roman"/>
                      <w:i w:val="0"/>
                      <w:color w:val="auto"/>
                      <w:kern w:val="0"/>
                      <w:sz w:val="21"/>
                      <w:szCs w:val="21"/>
                      <w:u w:val="none"/>
                      <w:lang w:val="en-US" w:eastAsia="zh-CN" w:bidi="ar"/>
                    </w:rPr>
                    <w:t>5#</w:t>
                  </w:r>
                  <w:r>
                    <w:rPr>
                      <w:rFonts w:hint="eastAsia" w:cs="Times New Roman"/>
                      <w:i w:val="0"/>
                      <w:color w:val="auto"/>
                      <w:kern w:val="0"/>
                      <w:sz w:val="21"/>
                      <w:szCs w:val="21"/>
                      <w:u w:val="none"/>
                      <w:lang w:val="en-US" w:eastAsia="zh-CN" w:bidi="ar"/>
                    </w:rPr>
                    <w:t>泊位外运，少量由汽车外运。</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环保工程</w:t>
                  </w: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废水处理系统</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本工程主要废水为生活污水和初期雨污水。生活污水采用地埋式化粪池处理，化粪池设计处理规模</w:t>
                  </w:r>
                  <w:r>
                    <w:rPr>
                      <w:rFonts w:hint="default" w:cs="Times New Roman"/>
                      <w:i w:val="0"/>
                      <w:color w:val="auto"/>
                      <w:kern w:val="0"/>
                      <w:sz w:val="21"/>
                      <w:szCs w:val="21"/>
                      <w:u w:val="none"/>
                      <w:lang w:val="en-US" w:eastAsia="zh-CN" w:bidi="ar"/>
                    </w:rPr>
                    <w:t>29m</w:t>
                  </w:r>
                  <w:r>
                    <w:rPr>
                      <w:rFonts w:hint="default" w:cs="Times New Roman"/>
                      <w:i w:val="0"/>
                      <w:color w:val="auto"/>
                      <w:kern w:val="0"/>
                      <w:sz w:val="21"/>
                      <w:szCs w:val="21"/>
                      <w:u w:val="none"/>
                      <w:vertAlign w:val="superscript"/>
                      <w:lang w:val="en-US" w:eastAsia="zh-CN" w:bidi="ar"/>
                    </w:rPr>
                    <w:t>3</w:t>
                  </w:r>
                  <w:r>
                    <w:rPr>
                      <w:rFonts w:hint="default" w:cs="Times New Roman"/>
                      <w:i w:val="0"/>
                      <w:color w:val="auto"/>
                      <w:kern w:val="0"/>
                      <w:sz w:val="21"/>
                      <w:szCs w:val="21"/>
                      <w:u w:val="none"/>
                      <w:lang w:val="en-US" w:eastAsia="zh-CN" w:bidi="ar"/>
                    </w:rPr>
                    <w:t xml:space="preserve"> /d</w:t>
                  </w:r>
                  <w:r>
                    <w:rPr>
                      <w:rFonts w:hint="eastAsia" w:cs="Times New Roman"/>
                      <w:i w:val="0"/>
                      <w:color w:val="auto"/>
                      <w:kern w:val="0"/>
                      <w:sz w:val="21"/>
                      <w:szCs w:val="21"/>
                      <w:u w:val="none"/>
                      <w:lang w:val="en-US" w:eastAsia="zh-CN" w:bidi="ar"/>
                    </w:rPr>
                    <w:t>；初期雨污水采用“沉淀</w:t>
                  </w:r>
                  <w:r>
                    <w:rPr>
                      <w:rFonts w:hint="default" w:cs="Times New Roman"/>
                      <w:i w:val="0"/>
                      <w:color w:val="auto"/>
                      <w:kern w:val="0"/>
                      <w:sz w:val="21"/>
                      <w:szCs w:val="21"/>
                      <w:u w:val="none"/>
                      <w:lang w:val="en-US" w:eastAsia="zh-CN" w:bidi="ar"/>
                    </w:rPr>
                    <w:t>+</w:t>
                  </w:r>
                  <w:r>
                    <w:rPr>
                      <w:rFonts w:hint="eastAsia" w:cs="Times New Roman"/>
                      <w:i w:val="0"/>
                      <w:color w:val="auto"/>
                      <w:kern w:val="0"/>
                      <w:sz w:val="21"/>
                      <w:szCs w:val="21"/>
                      <w:u w:val="none"/>
                      <w:lang w:val="en-US" w:eastAsia="zh-CN" w:bidi="ar"/>
                    </w:rPr>
                    <w:t>过滤”处理，企业建设了一座容积为</w:t>
                  </w:r>
                  <w:r>
                    <w:rPr>
                      <w:rFonts w:hint="default" w:cs="Times New Roman"/>
                      <w:i w:val="0"/>
                      <w:color w:val="auto"/>
                      <w:kern w:val="0"/>
                      <w:sz w:val="21"/>
                      <w:szCs w:val="21"/>
                      <w:u w:val="none"/>
                      <w:lang w:val="en-US" w:eastAsia="zh-CN" w:bidi="ar"/>
                    </w:rPr>
                    <w:t>480m</w:t>
                  </w:r>
                  <w:r>
                    <w:rPr>
                      <w:rFonts w:hint="default" w:cs="Times New Roman"/>
                      <w:i w:val="0"/>
                      <w:color w:val="auto"/>
                      <w:kern w:val="0"/>
                      <w:sz w:val="21"/>
                      <w:szCs w:val="21"/>
                      <w:u w:val="none"/>
                      <w:vertAlign w:val="superscript"/>
                      <w:lang w:val="en-US" w:eastAsia="zh-CN" w:bidi="ar"/>
                    </w:rPr>
                    <w:t>3</w:t>
                  </w:r>
                  <w:r>
                    <w:rPr>
                      <w:rFonts w:hint="eastAsia" w:cs="Times New Roman"/>
                      <w:i w:val="0"/>
                      <w:color w:val="auto"/>
                      <w:kern w:val="0"/>
                      <w:sz w:val="21"/>
                      <w:szCs w:val="21"/>
                      <w:u w:val="none"/>
                      <w:lang w:val="en-US" w:eastAsia="zh-CN" w:bidi="ar"/>
                    </w:rPr>
                    <w:t>的初期雨水池；分别处理后一并排入湾坞西污水处理厂统一处理。</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废气处理系统</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原矿渣堆棚设置顶棚且四周围挡，但无集气、喷淋等环保设施；本工程拟在生产区域内设置喷洒设施，有组织废气为破碎、筛分、搅拌、皮带传送过程产生的废气，各自集气</w:t>
                  </w:r>
                  <w:r>
                    <w:rPr>
                      <w:rFonts w:hint="default" w:cs="Times New Roman"/>
                      <w:i w:val="0"/>
                      <w:color w:val="auto"/>
                      <w:kern w:val="0"/>
                      <w:sz w:val="21"/>
                      <w:szCs w:val="21"/>
                      <w:u w:val="none"/>
                      <w:lang w:val="en-US" w:eastAsia="zh-CN" w:bidi="ar"/>
                    </w:rPr>
                    <w:t>后，经布袋除尘处理，由</w:t>
                  </w:r>
                  <w:r>
                    <w:rPr>
                      <w:rFonts w:hint="eastAsia" w:cs="Times New Roman"/>
                      <w:i w:val="0"/>
                      <w:color w:val="auto"/>
                      <w:kern w:val="0"/>
                      <w:sz w:val="21"/>
                      <w:szCs w:val="21"/>
                      <w:u w:val="none"/>
                      <w:lang w:val="en-US" w:eastAsia="zh-CN" w:bidi="ar"/>
                    </w:rPr>
                    <w:t>一根</w:t>
                  </w:r>
                  <w:r>
                    <w:rPr>
                      <w:rFonts w:hint="default" w:cs="Times New Roman"/>
                      <w:i w:val="0"/>
                      <w:color w:val="auto"/>
                      <w:kern w:val="0"/>
                      <w:sz w:val="21"/>
                      <w:szCs w:val="21"/>
                      <w:u w:val="none"/>
                      <w:lang w:val="en-US" w:eastAsia="zh-CN" w:bidi="ar"/>
                    </w:rPr>
                    <w:t>15米高排气筒排放</w:t>
                  </w:r>
                  <w:r>
                    <w:rPr>
                      <w:rFonts w:hint="eastAsia" w:cs="Times New Roman"/>
                      <w:i w:val="0"/>
                      <w:color w:val="auto"/>
                      <w:kern w:val="0"/>
                      <w:sz w:val="21"/>
                      <w:szCs w:val="21"/>
                      <w:u w:val="none"/>
                      <w:lang w:val="en-US" w:eastAsia="zh-CN" w:bidi="ar"/>
                    </w:rPr>
                    <w:t>；无组织粉尘定期洒水及车间通风，运输过程使用篷布遮盖。</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固废处理系统</w:t>
                  </w:r>
                </w:p>
              </w:tc>
              <w:tc>
                <w:tcPr>
                  <w:tcW w:w="3213" w:type="pct"/>
                  <w:vAlign w:val="center"/>
                </w:tcPr>
                <w:p>
                  <w:pPr>
                    <w:keepNext w:val="0"/>
                    <w:keepLines w:val="0"/>
                    <w:pageBreakBefore w:val="0"/>
                    <w:widowControl/>
                    <w:suppressLineNumbers w:val="0"/>
                    <w:kinsoku/>
                    <w:wordWrap/>
                    <w:overflowPunct/>
                    <w:topLinePunct w:val="0"/>
                    <w:bidi w:val="0"/>
                    <w:jc w:val="left"/>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生活垃圾经环卫部门统一收集处理。</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7"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color w:val="auto"/>
                    </w:rPr>
                  </w:pPr>
                </w:p>
              </w:tc>
              <w:tc>
                <w:tcPr>
                  <w:tcW w:w="874"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color w:val="auto"/>
                    </w:rPr>
                  </w:pP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eastAsia"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除尘灰作为一般固废</w:t>
                  </w:r>
                  <w:r>
                    <w:rPr>
                      <w:rFonts w:hint="eastAsia" w:cs="Times New Roman"/>
                      <w:i w:val="0"/>
                      <w:color w:val="auto"/>
                      <w:kern w:val="0"/>
                      <w:sz w:val="21"/>
                      <w:szCs w:val="21"/>
                      <w:u w:val="none"/>
                      <w:lang w:val="en-US" w:eastAsia="zh-CN" w:bidi="ar"/>
                    </w:rPr>
                    <w:t>，回用于公司矿渣微粉生产线</w:t>
                  </w:r>
                  <w:r>
                    <w:rPr>
                      <w:rFonts w:hint="eastAsia" w:ascii="Times New Roman" w:hAnsi="Times New Roman" w:eastAsia="宋体" w:cs="Times New Roman"/>
                      <w:i w:val="0"/>
                      <w:color w:val="auto"/>
                      <w:kern w:val="0"/>
                      <w:sz w:val="21"/>
                      <w:szCs w:val="21"/>
                      <w:u w:val="none"/>
                      <w:lang w:val="en-US" w:eastAsia="zh-CN" w:bidi="ar"/>
                    </w:rPr>
                    <w:t xml:space="preserve">。 </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s="Times New Roman"/>
                      <w:i w:val="0"/>
                      <w:color w:val="auto"/>
                      <w:kern w:val="0"/>
                      <w:sz w:val="21"/>
                      <w:szCs w:val="21"/>
                      <w:u w:val="none"/>
                      <w:lang w:val="en-US" w:eastAsia="zh-CN" w:bidi="ar"/>
                    </w:rPr>
                  </w:pPr>
                </w:p>
              </w:tc>
              <w:tc>
                <w:tcPr>
                  <w:tcW w:w="874"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s="Times New Roman"/>
                      <w:i w:val="0"/>
                      <w:color w:val="auto"/>
                      <w:kern w:val="0"/>
                      <w:sz w:val="21"/>
                      <w:szCs w:val="21"/>
                      <w:u w:val="none"/>
                      <w:lang w:val="en-US" w:eastAsia="zh-CN" w:bidi="ar"/>
                    </w:rPr>
                  </w:pP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原废机油产生量为0.5t/a，暂存公司危险废物暂存间，占地面积24</w:t>
                  </w:r>
                  <w:r>
                    <w:rPr>
                      <w:rFonts w:hint="default" w:cs="Times New Roman"/>
                      <w:i w:val="0"/>
                      <w:color w:val="auto"/>
                      <w:kern w:val="0"/>
                      <w:sz w:val="21"/>
                      <w:szCs w:val="21"/>
                      <w:u w:val="none"/>
                      <w:lang w:val="en-US" w:eastAsia="zh-CN" w:bidi="ar"/>
                    </w:rPr>
                    <w:t>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。本项目废机油产生量为0.5t/a，暂存于公司原有危险废物暂存间，统一委托有资质单位处置。</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p>
              </w:tc>
              <w:tc>
                <w:tcPr>
                  <w:tcW w:w="87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应急设施</w:t>
                  </w:r>
                </w:p>
              </w:tc>
              <w:tc>
                <w:tcPr>
                  <w:tcW w:w="321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outlineLvl w:val="9"/>
                    <w:rPr>
                      <w:rFonts w:hint="default" w:cs="Times New Roman"/>
                      <w:i w:val="0"/>
                      <w:color w:val="auto"/>
                      <w:kern w:val="0"/>
                      <w:sz w:val="21"/>
                      <w:szCs w:val="21"/>
                      <w:u w:val="none"/>
                      <w:lang w:val="en-US" w:eastAsia="zh-CN" w:bidi="ar"/>
                    </w:rPr>
                  </w:pPr>
                  <w:r>
                    <w:rPr>
                      <w:rFonts w:hint="eastAsia"/>
                      <w:lang w:val="en-US" w:eastAsia="zh-CN"/>
                    </w:rPr>
                    <w:t>该公司已建成</w:t>
                  </w:r>
                  <w:r>
                    <w:rPr>
                      <w:rFonts w:hint="eastAsia" w:cs="Times New Roman"/>
                      <w:i w:val="0"/>
                      <w:color w:val="auto"/>
                      <w:kern w:val="0"/>
                      <w:sz w:val="21"/>
                      <w:szCs w:val="21"/>
                      <w:u w:val="none"/>
                      <w:lang w:val="en-US" w:eastAsia="zh-CN" w:bidi="ar"/>
                    </w:rPr>
                    <w:t>容积为</w:t>
                  </w:r>
                  <w:r>
                    <w:rPr>
                      <w:rFonts w:hint="default" w:cs="Times New Roman"/>
                      <w:i w:val="0"/>
                      <w:color w:val="auto"/>
                      <w:kern w:val="0"/>
                      <w:sz w:val="21"/>
                      <w:szCs w:val="21"/>
                      <w:u w:val="none"/>
                      <w:lang w:val="en-US" w:eastAsia="zh-CN" w:bidi="ar"/>
                    </w:rPr>
                    <w:t>400m</w:t>
                  </w:r>
                  <w:r>
                    <w:rPr>
                      <w:rFonts w:hint="default" w:cs="Times New Roman"/>
                      <w:i w:val="0"/>
                      <w:color w:val="auto"/>
                      <w:kern w:val="0"/>
                      <w:sz w:val="21"/>
                      <w:szCs w:val="21"/>
                      <w:u w:val="none"/>
                      <w:vertAlign w:val="superscript"/>
                      <w:lang w:val="en-US" w:eastAsia="zh-CN" w:bidi="ar"/>
                    </w:rPr>
                    <w:t>3</w:t>
                  </w:r>
                  <w:r>
                    <w:rPr>
                      <w:rFonts w:hint="eastAsia" w:cs="Times New Roman"/>
                      <w:i w:val="0"/>
                      <w:color w:val="auto"/>
                      <w:kern w:val="0"/>
                      <w:sz w:val="21"/>
                      <w:szCs w:val="21"/>
                      <w:u w:val="none"/>
                      <w:lang w:val="en-US" w:eastAsia="zh-CN" w:bidi="ar"/>
                    </w:rPr>
                    <w:t>的事故应急池。</w:t>
                  </w:r>
                </w:p>
              </w:tc>
              <w:tc>
                <w:tcPr>
                  <w:tcW w:w="472" w:type="pct"/>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outlineLvl w:val="9"/>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依托现有</w:t>
                  </w:r>
                </w:p>
              </w:tc>
            </w:tr>
          </w:tbl>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.3  建设规模和产品方案</w:t>
            </w:r>
          </w:p>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生产路基垫层138t/a和钢渣细粉12t/a</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生产的产品路基垫层满足《道路用钢渣》（GB/T 25824），钢渣细粉满足《钢渣细粉》（GB/T28293-2012），具体标准见表2.</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-2。技改后全厂产品方案一览表，见表2.</w:t>
            </w:r>
            <w:r>
              <w:rPr>
                <w:rFonts w:hint="eastAsia"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-3。</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-2  具体产品标准一览表</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2967"/>
              <w:gridCol w:w="2542"/>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序号</w:t>
                  </w: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项目</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要求</w:t>
                  </w:r>
                </w:p>
              </w:tc>
              <w:tc>
                <w:tcPr>
                  <w:tcW w:w="96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Times New Roman" w:hAnsi="Times New Roman" w:eastAsia="宋体" w:cs="Times New Roman"/>
                      <w:i w:val="0"/>
                      <w:color w:val="auto"/>
                      <w:kern w:val="0"/>
                      <w:sz w:val="21"/>
                      <w:szCs w:val="21"/>
                      <w:u w:val="none"/>
                      <w:lang w:val="en-US" w:eastAsia="zh-CN" w:bidi="ar"/>
                    </w:rPr>
                  </w:pPr>
                  <w:r>
                    <w:rPr>
                      <w:rFonts w:hint="eastAsia"/>
                      <w:color w:val="auto"/>
                      <w:lang w:val="en-US" w:eastAsia="zh-CN"/>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路基垫层</w:t>
                  </w: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粒径</w:t>
                  </w:r>
                  <w:r>
                    <w:rPr>
                      <w:rFonts w:hint="default" w:ascii="Times New Roman" w:hAnsi="Times New Roman" w:eastAsia="宋体" w:cs="Times New Roman"/>
                      <w:i w:val="0"/>
                      <w:color w:val="auto"/>
                      <w:kern w:val="0"/>
                      <w:sz w:val="21"/>
                      <w:szCs w:val="21"/>
                      <w:u w:val="none"/>
                      <w:lang w:val="en-US" w:eastAsia="zh-CN" w:bidi="ar"/>
                    </w:rPr>
                    <w:t>mm</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≤60</w:t>
                  </w:r>
                </w:p>
              </w:tc>
              <w:tc>
                <w:tcPr>
                  <w:tcW w:w="962"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《道路用钢渣》（GB/T 25824）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浸水膨胀率</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Times New Roman"/>
                      <w:i w:val="0"/>
                      <w:color w:val="auto"/>
                      <w:kern w:val="0"/>
                      <w:sz w:val="21"/>
                      <w:szCs w:val="21"/>
                      <w:u w:val="none"/>
                      <w:lang w:val="en-US" w:eastAsia="zh-CN" w:bidi="ar"/>
                    </w:rPr>
                    <w:t>2.0%</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钢渣细粉</w:t>
                  </w: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密度</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g/cm</w:t>
                  </w:r>
                  <w:r>
                    <w:rPr>
                      <w:rFonts w:hint="default" w:cs="Times New Roman"/>
                      <w:i w:val="0"/>
                      <w:color w:val="auto"/>
                      <w:kern w:val="0"/>
                      <w:sz w:val="21"/>
                      <w:szCs w:val="21"/>
                      <w:u w:val="none"/>
                      <w:vertAlign w:val="superscript"/>
                      <w:lang w:val="en-US" w:eastAsia="zh-CN" w:bidi="ar"/>
                    </w:rPr>
                    <w:t>3</w:t>
                  </w:r>
                  <w:r>
                    <w:rPr>
                      <w:rFonts w:hint="eastAsia"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2.9</w:t>
                  </w:r>
                </w:p>
              </w:tc>
              <w:tc>
                <w:tcPr>
                  <w:tcW w:w="962"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《钢渣细粉》（GB/T28293-2012）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比表面积</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m</w:t>
                  </w:r>
                  <w:r>
                    <w:rPr>
                      <w:rFonts w:hint="default" w:cs="Times New Roman"/>
                      <w:i w:val="0"/>
                      <w:color w:val="auto"/>
                      <w:kern w:val="0"/>
                      <w:sz w:val="21"/>
                      <w:szCs w:val="21"/>
                      <w:u w:val="none"/>
                      <w:vertAlign w:val="superscript"/>
                      <w:lang w:val="en-US" w:eastAsia="zh-CN" w:bidi="ar"/>
                    </w:rPr>
                    <w:t>2</w:t>
                  </w:r>
                  <w:r>
                    <w:rPr>
                      <w:rFonts w:hint="default" w:ascii="Times New Roman" w:hAnsi="Times New Roman" w:eastAsia="宋体" w:cs="Times New Roman"/>
                      <w:i w:val="0"/>
                      <w:color w:val="auto"/>
                      <w:kern w:val="0"/>
                      <w:sz w:val="21"/>
                      <w:szCs w:val="21"/>
                      <w:u w:val="none"/>
                      <w:lang w:val="en-US" w:eastAsia="zh-CN" w:bidi="ar"/>
                    </w:rPr>
                    <w:t xml:space="preserve"> /kg</w:t>
                  </w:r>
                  <w:r>
                    <w:rPr>
                      <w:rFonts w:hint="eastAsia"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400</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含水量（质量分数）</w:t>
                  </w:r>
                  <w:r>
                    <w:rPr>
                      <w:rFonts w:hint="default"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氯离子含量（质量分数）</w:t>
                  </w:r>
                  <w:r>
                    <w:rPr>
                      <w:rFonts w:hint="default"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0.06</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三氧化硫含量（质量分数）</w:t>
                  </w:r>
                  <w:r>
                    <w:rPr>
                      <w:rFonts w:hint="default"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4.0</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烧失量（质量分数）</w:t>
                  </w:r>
                  <w:r>
                    <w:rPr>
                      <w:rFonts w:hint="default"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活性指数</w:t>
                  </w:r>
                  <w:r>
                    <w:rPr>
                      <w:rFonts w:hint="default"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7d</w:t>
                  </w:r>
                  <w:r>
                    <w:rPr>
                      <w:rFonts w:hint="eastAsia" w:ascii="Times New Roman" w:hAnsi="Times New Roman" w:eastAsia="宋体" w:cs="Times New Roman"/>
                      <w:i w:val="0"/>
                      <w:color w:val="auto"/>
                      <w:kern w:val="0"/>
                      <w:sz w:val="21"/>
                      <w:szCs w:val="21"/>
                      <w:u w:val="none"/>
                      <w:lang w:val="en-US" w:eastAsia="zh-CN" w:bidi="ar"/>
                    </w:rPr>
                    <w:t>为</w:t>
                  </w:r>
                  <w:r>
                    <w:rPr>
                      <w:rFonts w:hint="default" w:ascii="Times New Roman" w:hAnsi="Times New Roman" w:eastAsia="宋体" w:cs="Times New Roman"/>
                      <w:i w:val="0"/>
                      <w:color w:val="auto"/>
                      <w:kern w:val="0"/>
                      <w:sz w:val="21"/>
                      <w:szCs w:val="21"/>
                      <w:u w:val="none"/>
                      <w:lang w:val="en-US" w:eastAsia="zh-CN" w:bidi="ar"/>
                    </w:rPr>
                    <w:t>55</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28d</w:t>
                  </w:r>
                  <w:r>
                    <w:rPr>
                      <w:rFonts w:hint="eastAsia" w:ascii="Times New Roman" w:hAnsi="Times New Roman" w:eastAsia="宋体" w:cs="Times New Roman"/>
                      <w:i w:val="0"/>
                      <w:color w:val="auto"/>
                      <w:kern w:val="0"/>
                      <w:sz w:val="21"/>
                      <w:szCs w:val="21"/>
                      <w:u w:val="none"/>
                      <w:lang w:val="en-US" w:eastAsia="zh-CN" w:bidi="ar"/>
                    </w:rPr>
                    <w:t>为</w:t>
                  </w:r>
                  <w:r>
                    <w:rPr>
                      <w:rFonts w:hint="default" w:ascii="Times New Roman" w:hAnsi="Times New Roman" w:eastAsia="宋体" w:cs="Times New Roman"/>
                      <w:i w:val="0"/>
                      <w:color w:val="auto"/>
                      <w:kern w:val="0"/>
                      <w:sz w:val="21"/>
                      <w:szCs w:val="21"/>
                      <w:u w:val="none"/>
                      <w:lang w:val="en-US" w:eastAsia="zh-CN" w:bidi="ar"/>
                    </w:rPr>
                    <w:t>75</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活动度比</w:t>
                  </w:r>
                  <w:r>
                    <w:rPr>
                      <w:rFonts w:hint="default" w:ascii="Times New Roman" w:hAnsi="Times New Roman" w:eastAsia="宋体" w:cs="Times New Roman"/>
                      <w:i w:val="0"/>
                      <w:color w:val="auto"/>
                      <w:kern w:val="0"/>
                      <w:sz w:val="21"/>
                      <w:szCs w:val="21"/>
                      <w:u w:val="none"/>
                      <w:lang w:val="en-US" w:eastAsia="zh-CN" w:bidi="ar"/>
                    </w:rPr>
                    <w:t>%</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95</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沸煮安定性</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合格</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eastAsia"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651"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c>
                <w:tcPr>
                  <w:tcW w:w="181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压蒸安全性</w:t>
                  </w:r>
                </w:p>
              </w:tc>
              <w:tc>
                <w:tcPr>
                  <w:tcW w:w="156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6h</w:t>
                  </w:r>
                  <w:r>
                    <w:rPr>
                      <w:rFonts w:hint="eastAsia" w:ascii="Times New Roman" w:hAnsi="Times New Roman" w:eastAsia="宋体" w:cs="Times New Roman"/>
                      <w:i w:val="0"/>
                      <w:color w:val="auto"/>
                      <w:kern w:val="0"/>
                      <w:sz w:val="21"/>
                      <w:szCs w:val="21"/>
                      <w:u w:val="none"/>
                      <w:lang w:val="en-US" w:eastAsia="zh-CN" w:bidi="ar"/>
                    </w:rPr>
                    <w:t>压蒸膨胀率不大于</w:t>
                  </w:r>
                  <w:r>
                    <w:rPr>
                      <w:rFonts w:hint="default" w:ascii="Times New Roman" w:hAnsi="Times New Roman" w:eastAsia="宋体" w:cs="Times New Roman"/>
                      <w:i w:val="0"/>
                      <w:color w:val="auto"/>
                      <w:kern w:val="0"/>
                      <w:sz w:val="21"/>
                      <w:szCs w:val="21"/>
                      <w:u w:val="none"/>
                      <w:lang w:val="en-US" w:eastAsia="zh-CN" w:bidi="ar"/>
                    </w:rPr>
                    <w:t>0.5%</w:t>
                  </w:r>
                </w:p>
              </w:tc>
              <w:tc>
                <w:tcPr>
                  <w:tcW w:w="962"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技改后全厂产品方案一览表（t/a）</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430"/>
              <w:gridCol w:w="1463"/>
              <w:gridCol w:w="1464"/>
              <w:gridCol w:w="176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产品名称</w:t>
                  </w:r>
                </w:p>
              </w:tc>
              <w:tc>
                <w:tcPr>
                  <w:tcW w:w="1430"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技改前</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Times New Roman"/>
                      <w:i w:val="0"/>
                      <w:color w:val="auto"/>
                      <w:kern w:val="0"/>
                      <w:sz w:val="21"/>
                      <w:szCs w:val="21"/>
                      <w:u w:val="none"/>
                      <w:lang w:val="en-US" w:eastAsia="zh-CN" w:bidi="ar"/>
                    </w:rPr>
                    <w:t>万</w:t>
                  </w:r>
                  <w:r>
                    <w:rPr>
                      <w:rFonts w:hint="default" w:ascii="Times New Roman" w:hAnsi="Times New Roman" w:eastAsia="宋体" w:cs="Times New Roman"/>
                      <w:i w:val="0"/>
                      <w:color w:val="auto"/>
                      <w:kern w:val="0"/>
                      <w:sz w:val="21"/>
                      <w:szCs w:val="21"/>
                      <w:u w:val="none"/>
                      <w:lang w:val="en-US" w:eastAsia="zh-CN" w:bidi="ar"/>
                    </w:rPr>
                    <w:t>t/a）</w:t>
                  </w:r>
                </w:p>
              </w:tc>
              <w:tc>
                <w:tcPr>
                  <w:tcW w:w="1463"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增量</w:t>
                  </w:r>
                  <w:r>
                    <w:rPr>
                      <w:rFonts w:hint="default" w:ascii="Times New Roman" w:hAnsi="Times New Roman" w:eastAsia="宋体" w:cs="Times New Roman"/>
                      <w:i w:val="0"/>
                      <w:color w:val="auto"/>
                      <w:kern w:val="0"/>
                      <w:sz w:val="21"/>
                      <w:szCs w:val="21"/>
                      <w:u w:val="none"/>
                      <w:lang w:val="en-US" w:eastAsia="zh-CN" w:bidi="ar"/>
                    </w:rPr>
                    <w:t>（t/a）</w:t>
                  </w:r>
                </w:p>
              </w:tc>
              <w:tc>
                <w:tcPr>
                  <w:tcW w:w="1464"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技改后</w:t>
                  </w: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Times New Roman"/>
                      <w:i w:val="0"/>
                      <w:color w:val="auto"/>
                      <w:kern w:val="0"/>
                      <w:sz w:val="21"/>
                      <w:szCs w:val="21"/>
                      <w:u w:val="none"/>
                      <w:lang w:val="en-US" w:eastAsia="zh-CN" w:bidi="ar"/>
                    </w:rPr>
                    <w:t>万</w:t>
                  </w:r>
                  <w:r>
                    <w:rPr>
                      <w:rFonts w:hint="default" w:ascii="Times New Roman" w:hAnsi="Times New Roman" w:eastAsia="宋体" w:cs="Times New Roman"/>
                      <w:i w:val="0"/>
                      <w:color w:val="auto"/>
                      <w:kern w:val="0"/>
                      <w:sz w:val="21"/>
                      <w:szCs w:val="21"/>
                      <w:u w:val="none"/>
                      <w:lang w:val="en-US" w:eastAsia="zh-CN" w:bidi="ar"/>
                    </w:rPr>
                    <w:t>t/a）</w:t>
                  </w:r>
                </w:p>
              </w:tc>
              <w:tc>
                <w:tcPr>
                  <w:tcW w:w="1761"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年运行时数（</w:t>
                  </w:r>
                  <w:r>
                    <w:rPr>
                      <w:rFonts w:hint="default" w:ascii="Times New Roman" w:hAnsi="Times New Roman" w:eastAsia="宋体" w:cs="Times New Roman"/>
                      <w:i w:val="0"/>
                      <w:color w:val="auto"/>
                      <w:kern w:val="0"/>
                      <w:sz w:val="21"/>
                      <w:szCs w:val="21"/>
                      <w:u w:val="none"/>
                      <w:lang w:val="en-US" w:eastAsia="zh-CN" w:bidi="ar"/>
                    </w:rPr>
                    <w:t>h</w:t>
                  </w:r>
                  <w:r>
                    <w:rPr>
                      <w:rFonts w:hint="eastAsia" w:ascii="Times New Roman" w:hAnsi="Times New Roman" w:eastAsia="宋体" w:cs="Times New Roman"/>
                      <w:i w:val="0"/>
                      <w:color w:val="auto"/>
                      <w:kern w:val="0"/>
                      <w:sz w:val="21"/>
                      <w:szCs w:val="21"/>
                      <w:u w:val="none"/>
                      <w:lang w:val="en-US" w:eastAsia="zh-CN" w:bidi="ar"/>
                    </w:rPr>
                    <w:t>）</w:t>
                  </w:r>
                </w:p>
              </w:tc>
              <w:tc>
                <w:tcPr>
                  <w:tcW w:w="1087"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矿渣微粉</w:t>
                  </w:r>
                </w:p>
              </w:tc>
              <w:tc>
                <w:tcPr>
                  <w:tcW w:w="1430"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300</w:t>
                  </w:r>
                </w:p>
              </w:tc>
              <w:tc>
                <w:tcPr>
                  <w:tcW w:w="1463"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w:t>
                  </w:r>
                </w:p>
              </w:tc>
              <w:tc>
                <w:tcPr>
                  <w:tcW w:w="1464"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300</w:t>
                  </w:r>
                </w:p>
              </w:tc>
              <w:tc>
                <w:tcPr>
                  <w:tcW w:w="1761"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7707</w:t>
                  </w:r>
                </w:p>
              </w:tc>
              <w:tc>
                <w:tcPr>
                  <w:tcW w:w="1087"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路基垫层</w:t>
                  </w:r>
                </w:p>
              </w:tc>
              <w:tc>
                <w:tcPr>
                  <w:tcW w:w="1430"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w:t>
                  </w:r>
                </w:p>
              </w:tc>
              <w:tc>
                <w:tcPr>
                  <w:tcW w:w="1463"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138</w:t>
                  </w:r>
                </w:p>
              </w:tc>
              <w:tc>
                <w:tcPr>
                  <w:tcW w:w="1464" w:type="dxa"/>
                  <w:vAlign w:val="top"/>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138</w:t>
                  </w:r>
                </w:p>
              </w:tc>
              <w:tc>
                <w:tcPr>
                  <w:tcW w:w="1761"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7200</w:t>
                  </w:r>
                </w:p>
              </w:tc>
              <w:tc>
                <w:tcPr>
                  <w:tcW w:w="1087"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2"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钢渣细粉</w:t>
                  </w:r>
                </w:p>
              </w:tc>
              <w:tc>
                <w:tcPr>
                  <w:tcW w:w="1430"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w:t>
                  </w:r>
                </w:p>
              </w:tc>
              <w:tc>
                <w:tcPr>
                  <w:tcW w:w="1463"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w:t>
                  </w:r>
                </w:p>
              </w:tc>
              <w:tc>
                <w:tcPr>
                  <w:tcW w:w="1464" w:type="dxa"/>
                  <w:vAlign w:val="top"/>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12</w:t>
                  </w:r>
                </w:p>
              </w:tc>
              <w:tc>
                <w:tcPr>
                  <w:tcW w:w="1761"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7200</w:t>
                  </w:r>
                </w:p>
              </w:tc>
              <w:tc>
                <w:tcPr>
                  <w:tcW w:w="1087" w:type="dxa"/>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新增</w:t>
                  </w:r>
                </w:p>
              </w:tc>
            </w:tr>
          </w:tbl>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color w:val="auto"/>
                <w:sz w:val="24"/>
                <w:szCs w:val="24"/>
                <w:lang w:val="en-US" w:eastAsia="zh-CN"/>
              </w:rPr>
            </w:pP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四家公司各自将精炼渣经湿法球磨后磁选出铁精矿，筛下的钢渣外售给福安市青拓环保建材有限公司作为本项目原料，主要成分为氧化钙，含水率约20%，根据福建青拓特钢技术研究有限公司质检部门检</w:t>
            </w:r>
            <w:r>
              <w:rPr>
                <w:rFonts w:hint="eastAsia" w:ascii="Times New Roman" w:hAnsi="Times New Roman" w:eastAsia="宋体" w:cs="Times New Roman"/>
                <w:color w:val="auto"/>
                <w:sz w:val="24"/>
                <w:szCs w:val="24"/>
                <w:lang w:val="en-US" w:eastAsia="zh-CN"/>
              </w:rPr>
              <w:t>测，</w:t>
            </w:r>
            <w:r>
              <w:rPr>
                <w:rFonts w:hint="eastAsia" w:cs="Times New Roman"/>
                <w:color w:val="auto"/>
                <w:sz w:val="24"/>
                <w:szCs w:val="24"/>
                <w:lang w:val="en-US" w:eastAsia="zh-CN"/>
              </w:rPr>
              <w:t>四家公司</w:t>
            </w:r>
            <w:r>
              <w:rPr>
                <w:rFonts w:hint="eastAsia" w:ascii="Times New Roman" w:hAnsi="Times New Roman" w:eastAsia="宋体" w:cs="Times New Roman"/>
                <w:color w:val="auto"/>
                <w:sz w:val="24"/>
                <w:szCs w:val="24"/>
                <w:lang w:val="en-US" w:eastAsia="zh-CN"/>
              </w:rPr>
              <w:t>精炼渣成分</w:t>
            </w:r>
            <w:r>
              <w:rPr>
                <w:rFonts w:hint="eastAsia" w:cs="Times New Roman"/>
                <w:color w:val="auto"/>
                <w:sz w:val="24"/>
                <w:szCs w:val="24"/>
                <w:lang w:val="en-US" w:eastAsia="zh-CN"/>
              </w:rPr>
              <w:t>一致，</w:t>
            </w:r>
            <w:r>
              <w:rPr>
                <w:rFonts w:hint="eastAsia" w:ascii="Times New Roman" w:hAnsi="Times New Roman" w:eastAsia="宋体" w:cs="Times New Roman"/>
                <w:color w:val="auto"/>
                <w:sz w:val="24"/>
                <w:szCs w:val="24"/>
                <w:lang w:val="en-US" w:eastAsia="zh-CN"/>
              </w:rPr>
              <w:t>详见表2.</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成分</w:t>
            </w:r>
            <w:r>
              <w:rPr>
                <w:rFonts w:hint="default" w:ascii="Times New Roman" w:hAnsi="Times New Roman" w:eastAsia="宋体" w:cs="Times New Roman"/>
                <w:b/>
                <w:bCs/>
                <w:color w:val="auto"/>
                <w:sz w:val="24"/>
                <w:szCs w:val="24"/>
                <w:lang w:val="en-US" w:eastAsia="zh-CN"/>
              </w:rPr>
              <w:t>一览表</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947"/>
              <w:gridCol w:w="947"/>
              <w:gridCol w:w="983"/>
              <w:gridCol w:w="983"/>
              <w:gridCol w:w="947"/>
              <w:gridCol w:w="947"/>
              <w:gridCol w:w="948"/>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原辅料名称</w:t>
                  </w:r>
                </w:p>
              </w:tc>
              <w:tc>
                <w:tcPr>
                  <w:tcW w:w="5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Ni</w:t>
                  </w:r>
                </w:p>
              </w:tc>
              <w:tc>
                <w:tcPr>
                  <w:tcW w:w="5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Fe</w:t>
                  </w:r>
                </w:p>
              </w:tc>
              <w:tc>
                <w:tcPr>
                  <w:tcW w:w="57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SiO</w:t>
                  </w:r>
                  <w:r>
                    <w:rPr>
                      <w:rFonts w:hint="eastAsia" w:ascii="Times New Roman" w:hAnsi="Times New Roman" w:eastAsia="宋体" w:cs="Times New Roman"/>
                      <w:color w:val="auto"/>
                      <w:sz w:val="21"/>
                      <w:szCs w:val="21"/>
                      <w:vertAlign w:val="subscript"/>
                      <w:lang w:val="en-US" w:eastAsia="zh-CN"/>
                    </w:rPr>
                    <w:t>2</w:t>
                  </w:r>
                </w:p>
              </w:tc>
              <w:tc>
                <w:tcPr>
                  <w:tcW w:w="571"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CaO</w:t>
                  </w:r>
                </w:p>
              </w:tc>
              <w:tc>
                <w:tcPr>
                  <w:tcW w:w="5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MgO</w:t>
                  </w:r>
                </w:p>
              </w:tc>
              <w:tc>
                <w:tcPr>
                  <w:tcW w:w="5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MnO</w:t>
                  </w:r>
                </w:p>
              </w:tc>
              <w:tc>
                <w:tcPr>
                  <w:tcW w:w="550"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Al</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O</w:t>
                  </w:r>
                  <w:r>
                    <w:rPr>
                      <w:rFonts w:hint="eastAsia" w:ascii="Times New Roman" w:hAnsi="Times New Roman" w:eastAsia="宋体" w:cs="Times New Roman"/>
                      <w:color w:val="auto"/>
                      <w:sz w:val="21"/>
                      <w:szCs w:val="21"/>
                      <w:vertAlign w:val="subscript"/>
                      <w:lang w:val="en-US" w:eastAsia="zh-CN"/>
                    </w:rPr>
                    <w:t>3</w:t>
                  </w:r>
                </w:p>
              </w:tc>
              <w:tc>
                <w:tcPr>
                  <w:tcW w:w="553" w:type="pc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Cr</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O</w:t>
                  </w:r>
                  <w:r>
                    <w:rPr>
                      <w:rFonts w:hint="eastAsia" w:ascii="Times New Roman" w:hAnsi="Times New Roman" w:eastAsia="宋体" w:cs="Times New Roman"/>
                      <w:color w:val="auto"/>
                      <w:sz w:val="21"/>
                      <w:szCs w:val="21"/>
                      <w:vertAlign w:val="sub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钢渣</w:t>
                  </w:r>
                </w:p>
              </w:tc>
              <w:tc>
                <w:tcPr>
                  <w:tcW w:w="550"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550"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1.81%</w:t>
                  </w:r>
                </w:p>
              </w:tc>
              <w:tc>
                <w:tcPr>
                  <w:tcW w:w="571"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23.71%</w:t>
                  </w:r>
                </w:p>
              </w:tc>
              <w:tc>
                <w:tcPr>
                  <w:tcW w:w="571"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51.83%</w:t>
                  </w:r>
                </w:p>
              </w:tc>
              <w:tc>
                <w:tcPr>
                  <w:tcW w:w="550"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4.83%</w:t>
                  </w:r>
                </w:p>
              </w:tc>
              <w:tc>
                <w:tcPr>
                  <w:tcW w:w="550"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2.17%</w:t>
                  </w:r>
                </w:p>
              </w:tc>
              <w:tc>
                <w:tcPr>
                  <w:tcW w:w="550"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2.37%</w:t>
                  </w:r>
                </w:p>
              </w:tc>
              <w:tc>
                <w:tcPr>
                  <w:tcW w:w="553" w:type="pct"/>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w:t>
                  </w:r>
                </w:p>
              </w:tc>
            </w:tr>
          </w:tbl>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.4 项目建设周期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建设期总计</w:t>
            </w:r>
            <w:r>
              <w:rPr>
                <w:rFonts w:hint="eastAsia" w:cs="Times New Roman"/>
                <w:color w:val="auto"/>
                <w:sz w:val="24"/>
                <w:highlight w:val="none"/>
                <w:lang w:val="en-US" w:eastAsia="zh-CN"/>
              </w:rPr>
              <w:t>16</w:t>
            </w:r>
            <w:r>
              <w:rPr>
                <w:rFonts w:hint="default" w:ascii="Times New Roman" w:hAnsi="Times New Roman" w:cs="Times New Roman"/>
                <w:color w:val="auto"/>
                <w:sz w:val="24"/>
                <w:highlight w:val="none"/>
              </w:rPr>
              <w:t>个月，从202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9</w:t>
            </w:r>
            <w:r>
              <w:rPr>
                <w:rFonts w:hint="default" w:ascii="Times New Roman" w:hAnsi="Times New Roman" w:cs="Times New Roman"/>
                <w:color w:val="auto"/>
                <w:sz w:val="24"/>
                <w:highlight w:val="none"/>
              </w:rPr>
              <w:t>月开始至202</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年</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月结束。</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.5 劳动定员及生产制度</w:t>
            </w:r>
          </w:p>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highlight w:val="none"/>
              </w:rPr>
              <w:t>劳动定员：</w:t>
            </w:r>
            <w:r>
              <w:rPr>
                <w:rFonts w:hint="eastAsia" w:cs="Times New Roman"/>
                <w:color w:val="auto"/>
                <w:sz w:val="24"/>
                <w:highlight w:val="none"/>
                <w:lang w:val="en-US" w:eastAsia="zh-CN"/>
              </w:rPr>
              <w:t>现有</w:t>
            </w:r>
            <w:r>
              <w:rPr>
                <w:rFonts w:hint="default" w:ascii="Times New Roman" w:hAnsi="Times New Roman" w:cs="Times New Roman"/>
                <w:color w:val="auto"/>
                <w:sz w:val="24"/>
                <w:highlight w:val="none"/>
              </w:rPr>
              <w:t>职工人数</w:t>
            </w:r>
            <w:r>
              <w:rPr>
                <w:rFonts w:hint="eastAsia" w:cs="Times New Roman"/>
                <w:color w:val="auto"/>
                <w:sz w:val="24"/>
                <w:highlight w:val="none"/>
                <w:lang w:val="en-US" w:eastAsia="zh-CN"/>
              </w:rPr>
              <w:t>80</w:t>
            </w:r>
            <w:r>
              <w:rPr>
                <w:rFonts w:hint="default" w:ascii="Times New Roman" w:hAnsi="Times New Roman" w:cs="Times New Roman"/>
                <w:color w:val="auto"/>
                <w:sz w:val="24"/>
                <w:highlight w:val="none"/>
              </w:rPr>
              <w:t>人，</w:t>
            </w:r>
            <w:r>
              <w:rPr>
                <w:rFonts w:hint="default" w:ascii="Times New Roman" w:hAnsi="Times New Roman" w:cs="Times New Roman"/>
                <w:color w:val="auto"/>
                <w:sz w:val="24"/>
                <w:highlight w:val="none"/>
                <w:lang w:val="en-US" w:eastAsia="zh-CN"/>
              </w:rPr>
              <w:t>本项目员工厂内调配，无</w:t>
            </w:r>
            <w:r>
              <w:rPr>
                <w:rFonts w:hint="default" w:ascii="Times New Roman" w:hAnsi="Times New Roman" w:cs="Times New Roman"/>
                <w:color w:val="auto"/>
                <w:sz w:val="24"/>
                <w:highlight w:val="none"/>
              </w:rPr>
              <w:t>新增</w:t>
            </w:r>
            <w:r>
              <w:rPr>
                <w:rFonts w:hint="default" w:ascii="Times New Roman" w:hAnsi="Times New Roman" w:cs="Times New Roman"/>
                <w:color w:val="auto"/>
                <w:sz w:val="24"/>
                <w:highlight w:val="none"/>
                <w:lang w:val="en-US" w:eastAsia="zh-CN"/>
              </w:rPr>
              <w:t>职工</w:t>
            </w:r>
            <w:r>
              <w:rPr>
                <w:rFonts w:hint="default" w:ascii="Times New Roman" w:hAnsi="Times New Roman" w:cs="Times New Roman"/>
                <w:color w:val="auto"/>
                <w:sz w:val="24"/>
                <w:highlight w:val="none"/>
              </w:rPr>
              <w:t>人</w:t>
            </w:r>
            <w:r>
              <w:rPr>
                <w:rFonts w:hint="default" w:ascii="Times New Roman" w:hAnsi="Times New Roman" w:cs="Times New Roman"/>
                <w:color w:val="auto"/>
                <w:sz w:val="24"/>
                <w:highlight w:val="none"/>
                <w:lang w:val="en-US" w:eastAsia="zh-CN"/>
              </w:rPr>
              <w:t>数</w:t>
            </w:r>
            <w:r>
              <w:rPr>
                <w:rFonts w:hint="default" w:ascii="Times New Roman" w:hAnsi="Times New Roman" w:cs="Times New Roman"/>
                <w:color w:val="auto"/>
                <w:sz w:val="24"/>
                <w:highlight w:val="none"/>
              </w:rPr>
              <w:t>。</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cs="Times New Roman"/>
                <w:color w:val="auto"/>
                <w:sz w:val="24"/>
              </w:rPr>
              <w:t>生产制度：</w:t>
            </w:r>
            <w:r>
              <w:rPr>
                <w:rFonts w:hint="default" w:ascii="Times New Roman" w:hAnsi="Times New Roman" w:eastAsia="宋体" w:cs="Times New Roman"/>
                <w:snapToGrid w:val="0"/>
                <w:color w:val="auto"/>
                <w:kern w:val="0"/>
                <w:highlight w:val="none"/>
                <w:lang w:val="en-US" w:eastAsia="zh-CN"/>
              </w:rPr>
              <w:t>生产车间实行三班二运转工作制，每班12小时，年工作300天</w:t>
            </w:r>
            <w:r>
              <w:rPr>
                <w:rFonts w:hint="eastAsia" w:ascii="Times New Roman" w:hAnsi="Times New Roman" w:eastAsia="宋体" w:cs="Times New Roman"/>
                <w:snapToGrid w:val="0"/>
                <w:color w:val="auto"/>
                <w:kern w:val="0"/>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.6 项目主要生产设备</w:t>
            </w:r>
          </w:p>
          <w:p>
            <w:pPr>
              <w:autoSpaceDE w:val="0"/>
              <w:autoSpaceDN w:val="0"/>
              <w:adjustRightInd w:val="0"/>
              <w:ind w:firstLine="480" w:firstLineChars="200"/>
              <w:rPr>
                <w:rFonts w:hint="default" w:ascii="Times New Roman" w:hAnsi="Times New Roman" w:cs="Times New Roman"/>
                <w:color w:val="0000FF"/>
                <w:sz w:val="24"/>
              </w:rPr>
            </w:pPr>
            <w:r>
              <w:rPr>
                <w:rFonts w:hint="eastAsia" w:cs="Times New Roman"/>
                <w:color w:val="auto"/>
                <w:sz w:val="24"/>
                <w:lang w:val="en-US" w:eastAsia="zh-CN"/>
              </w:rPr>
              <w:t>技改</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生产设备见表</w:t>
            </w:r>
            <w:r>
              <w:rPr>
                <w:rFonts w:hint="default" w:ascii="Times New Roman" w:hAnsi="Times New Roman" w:cs="Times New Roman"/>
                <w:color w:val="auto"/>
                <w:sz w:val="24"/>
                <w:lang w:eastAsia="zh-CN"/>
              </w:rPr>
              <w:t>2.</w:t>
            </w:r>
            <w:r>
              <w:rPr>
                <w:rFonts w:hint="eastAsia" w:cs="Times New Roman"/>
                <w:color w:val="auto"/>
                <w:sz w:val="24"/>
                <w:lang w:val="en-US" w:eastAsia="zh-CN"/>
              </w:rPr>
              <w:t>1</w:t>
            </w:r>
            <w:r>
              <w:rPr>
                <w:rFonts w:hint="default" w:ascii="Times New Roman" w:hAnsi="Times New Roman" w:cs="Times New Roman"/>
                <w:color w:val="auto"/>
                <w:sz w:val="24"/>
              </w:rPr>
              <w:t>-</w:t>
            </w:r>
            <w:r>
              <w:rPr>
                <w:rFonts w:hint="eastAsia" w:cs="Times New Roman"/>
                <w:color w:val="auto"/>
                <w:sz w:val="24"/>
                <w:lang w:val="en-US" w:eastAsia="zh-CN"/>
              </w:rPr>
              <w:t>5</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主要生产设备一览表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3832"/>
              <w:gridCol w:w="2362"/>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2226"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设备名称</w:t>
                  </w:r>
                </w:p>
              </w:tc>
              <w:tc>
                <w:tcPr>
                  <w:tcW w:w="1372"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规格型号</w:t>
                  </w:r>
                </w:p>
              </w:tc>
              <w:tc>
                <w:tcPr>
                  <w:tcW w:w="97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226"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输送带</w:t>
                  </w:r>
                </w:p>
              </w:tc>
              <w:tc>
                <w:tcPr>
                  <w:tcW w:w="1372"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B800</w:t>
                  </w:r>
                </w:p>
              </w:tc>
              <w:tc>
                <w:tcPr>
                  <w:tcW w:w="97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2226"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高频筛</w:t>
                  </w:r>
                </w:p>
              </w:tc>
              <w:tc>
                <w:tcPr>
                  <w:tcW w:w="1372"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97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226" w:type="pct"/>
                  <w:tcBorders>
                    <w:tl2br w:val="nil"/>
                    <w:tr2bl w:val="nil"/>
                  </w:tcBorders>
                  <w:noWrap w:val="0"/>
                  <w:vAlign w:val="center"/>
                </w:tcPr>
                <w:p>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破碎机</w:t>
                  </w:r>
                </w:p>
              </w:tc>
              <w:tc>
                <w:tcPr>
                  <w:tcW w:w="1372"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GK1620</w:t>
                  </w:r>
                  <w:r>
                    <w:rPr>
                      <w:rFonts w:hint="default" w:ascii="Times New Roman" w:hAnsi="Times New Roman" w:eastAsia="宋体" w:cs="Times New Roman"/>
                      <w:color w:val="auto"/>
                      <w:spacing w:val="-1"/>
                      <w:sz w:val="21"/>
                      <w:szCs w:val="21"/>
                    </w:rPr>
                    <w:t>A</w:t>
                  </w:r>
                </w:p>
              </w:tc>
              <w:tc>
                <w:tcPr>
                  <w:tcW w:w="97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2226" w:type="pct"/>
                  <w:tcBorders>
                    <w:tl2br w:val="nil"/>
                    <w:tr2bl w:val="nil"/>
                  </w:tcBorders>
                  <w:noWrap w:val="0"/>
                  <w:vAlign w:val="center"/>
                </w:tcPr>
                <w:p>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螺旋搅拌机</w:t>
                  </w:r>
                </w:p>
              </w:tc>
              <w:tc>
                <w:tcPr>
                  <w:tcW w:w="1372"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7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23"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2226" w:type="pct"/>
                  <w:tcBorders>
                    <w:tl2br w:val="nil"/>
                    <w:tr2bl w:val="nil"/>
                  </w:tcBorders>
                  <w:noWrap w:val="0"/>
                  <w:vAlign w:val="center"/>
                </w:tcPr>
                <w:p>
                  <w:pPr>
                    <w:spacing w:line="240" w:lineRule="exact"/>
                    <w:jc w:val="center"/>
                    <w:rPr>
                      <w:rFonts w:hint="default" w:ascii="Times New Roman" w:hAnsi="Times New Roman" w:eastAsia="宋体" w:cs="Times New Roman"/>
                      <w:sz w:val="21"/>
                      <w:szCs w:val="21"/>
                      <w:lang w:val="en-US"/>
                    </w:rPr>
                  </w:pPr>
                  <w:r>
                    <w:rPr>
                      <w:rFonts w:hint="default" w:ascii="Times New Roman" w:hAnsi="Times New Roman" w:cs="Times New Roman"/>
                      <w:sz w:val="21"/>
                      <w:szCs w:val="21"/>
                      <w:lang w:val="en-US" w:eastAsia="zh-CN"/>
                    </w:rPr>
                    <w:t>脉冲</w:t>
                  </w:r>
                  <w:r>
                    <w:rPr>
                      <w:rFonts w:hint="default" w:ascii="Times New Roman" w:hAnsi="Times New Roman" w:eastAsia="宋体" w:cs="Times New Roman"/>
                      <w:sz w:val="21"/>
                      <w:szCs w:val="21"/>
                    </w:rPr>
                    <w:t>除尘器</w:t>
                  </w:r>
                </w:p>
              </w:tc>
              <w:tc>
                <w:tcPr>
                  <w:tcW w:w="1372" w:type="pct"/>
                  <w:tcBorders>
                    <w:tl2br w:val="nil"/>
                    <w:tr2bl w:val="nil"/>
                  </w:tcBorders>
                  <w:noWrap w:val="0"/>
                  <w:vAlign w:val="center"/>
                </w:tcPr>
                <w:p>
                  <w:pPr>
                    <w:spacing w:line="240" w:lineRule="exact"/>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HMC-96</w:t>
                  </w:r>
                </w:p>
              </w:tc>
              <w:tc>
                <w:tcPr>
                  <w:tcW w:w="977" w:type="pct"/>
                  <w:tcBorders>
                    <w:tl2br w:val="nil"/>
                    <w:tr2bl w:val="nil"/>
                  </w:tcBorders>
                  <w:noWrap w:val="0"/>
                  <w:vAlign w:val="center"/>
                </w:tcPr>
                <w:p>
                  <w:pPr>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bl>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.7 原辅材料消耗</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eastAsia"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本项目的</w:t>
            </w:r>
            <w:r>
              <w:rPr>
                <w:rFonts w:hint="eastAsia" w:cs="Times New Roman"/>
                <w:color w:val="auto"/>
                <w:spacing w:val="4"/>
                <w:kern w:val="0"/>
                <w:sz w:val="24"/>
                <w:highlight w:val="none"/>
                <w:lang w:val="en-US" w:eastAsia="zh-CN"/>
              </w:rPr>
              <w:t>钢渣</w:t>
            </w:r>
            <w:r>
              <w:rPr>
                <w:rFonts w:hint="default" w:ascii="Times New Roman" w:hAnsi="Times New Roman" w:eastAsia="宋体" w:cs="Times New Roman"/>
                <w:color w:val="auto"/>
                <w:spacing w:val="4"/>
                <w:kern w:val="0"/>
                <w:sz w:val="24"/>
                <w:highlight w:val="none"/>
                <w:lang w:val="en-US" w:eastAsia="zh-CN"/>
              </w:rPr>
              <w:t>原料采用</w:t>
            </w:r>
            <w:r>
              <w:rPr>
                <w:rFonts w:hint="eastAsia" w:ascii="Times New Roman" w:hAnsi="Times New Roman" w:eastAsia="宋体" w:cs="Times New Roman"/>
                <w:color w:val="auto"/>
                <w:spacing w:val="4"/>
                <w:kern w:val="0"/>
                <w:sz w:val="24"/>
                <w:highlight w:val="none"/>
                <w:lang w:val="en-US" w:eastAsia="zh-CN"/>
              </w:rPr>
              <w:t>精炼渣</w:t>
            </w:r>
            <w:r>
              <w:rPr>
                <w:rFonts w:hint="eastAsia" w:cs="Times New Roman"/>
                <w:color w:val="auto"/>
                <w:spacing w:val="4"/>
                <w:kern w:val="0"/>
                <w:sz w:val="24"/>
                <w:highlight w:val="none"/>
                <w:lang w:val="en-US" w:eastAsia="zh-CN"/>
              </w:rPr>
              <w:t>湿法</w:t>
            </w:r>
            <w:r>
              <w:rPr>
                <w:rFonts w:hint="eastAsia" w:ascii="Times New Roman" w:hAnsi="Times New Roman" w:eastAsia="宋体" w:cs="Times New Roman"/>
                <w:color w:val="auto"/>
                <w:spacing w:val="4"/>
                <w:kern w:val="0"/>
                <w:sz w:val="24"/>
                <w:highlight w:val="none"/>
                <w:lang w:val="en-US" w:eastAsia="zh-CN"/>
              </w:rPr>
              <w:t>球磨磁选后，磁选出铁精矿后</w:t>
            </w:r>
            <w:r>
              <w:rPr>
                <w:rFonts w:hint="default" w:ascii="Times New Roman" w:hAnsi="Times New Roman" w:eastAsia="宋体" w:cs="Times New Roman"/>
                <w:color w:val="auto"/>
                <w:spacing w:val="4"/>
                <w:kern w:val="0"/>
                <w:sz w:val="24"/>
                <w:highlight w:val="none"/>
                <w:lang w:val="en-US" w:eastAsia="zh-CN"/>
              </w:rPr>
              <w:t>的筛下</w:t>
            </w:r>
            <w:r>
              <w:rPr>
                <w:rFonts w:hint="eastAsia" w:cs="Times New Roman"/>
                <w:color w:val="auto"/>
                <w:spacing w:val="4"/>
                <w:kern w:val="0"/>
                <w:sz w:val="24"/>
                <w:highlight w:val="none"/>
                <w:lang w:val="en-US" w:eastAsia="zh-CN"/>
              </w:rPr>
              <w:t>钢渣</w:t>
            </w:r>
            <w:r>
              <w:rPr>
                <w:rFonts w:hint="default" w:ascii="Times New Roman" w:hAnsi="Times New Roman" w:eastAsia="宋体" w:cs="Times New Roman"/>
                <w:color w:val="auto"/>
                <w:spacing w:val="4"/>
                <w:kern w:val="0"/>
                <w:sz w:val="24"/>
                <w:highlight w:val="none"/>
                <w:lang w:val="en-US" w:eastAsia="zh-CN"/>
              </w:rPr>
              <w:t>，来自青拓集团的福建青拓新材料有限公司（</w:t>
            </w:r>
            <w:r>
              <w:rPr>
                <w:rFonts w:hint="eastAsia" w:ascii="Times New Roman" w:hAnsi="Times New Roman" w:eastAsia="宋体" w:cs="Times New Roman"/>
                <w:color w:val="auto"/>
                <w:spacing w:val="4"/>
                <w:kern w:val="0"/>
                <w:sz w:val="24"/>
                <w:highlight w:val="none"/>
                <w:lang w:val="en-US" w:eastAsia="zh-CN"/>
              </w:rPr>
              <w:t>15</w:t>
            </w:r>
            <w:r>
              <w:rPr>
                <w:rFonts w:hint="default" w:ascii="Times New Roman" w:hAnsi="Times New Roman" w:eastAsia="宋体" w:cs="Times New Roman"/>
                <w:color w:val="auto"/>
                <w:spacing w:val="4"/>
                <w:kern w:val="0"/>
                <w:sz w:val="24"/>
                <w:highlight w:val="none"/>
                <w:lang w:val="en-US" w:eastAsia="zh-CN"/>
              </w:rPr>
              <w:t>万吨）、福建鼎信实业有限公司（</w:t>
            </w:r>
            <w:r>
              <w:rPr>
                <w:rFonts w:hint="eastAsia" w:ascii="Times New Roman" w:hAnsi="Times New Roman" w:eastAsia="宋体" w:cs="Times New Roman"/>
                <w:color w:val="auto"/>
                <w:spacing w:val="4"/>
                <w:kern w:val="0"/>
                <w:sz w:val="24"/>
                <w:highlight w:val="none"/>
                <w:lang w:val="en-US" w:eastAsia="zh-CN"/>
              </w:rPr>
              <w:t>20</w:t>
            </w:r>
            <w:r>
              <w:rPr>
                <w:rFonts w:hint="default" w:ascii="Times New Roman" w:hAnsi="Times New Roman" w:eastAsia="宋体" w:cs="Times New Roman"/>
                <w:color w:val="auto"/>
                <w:spacing w:val="4"/>
                <w:kern w:val="0"/>
                <w:sz w:val="24"/>
                <w:highlight w:val="none"/>
                <w:lang w:val="en-US" w:eastAsia="zh-CN"/>
              </w:rPr>
              <w:t>万吨）、福建青拓镍业有限公司（</w:t>
            </w:r>
            <w:r>
              <w:rPr>
                <w:rFonts w:hint="eastAsia" w:ascii="Times New Roman" w:hAnsi="Times New Roman" w:eastAsia="宋体" w:cs="Times New Roman"/>
                <w:color w:val="auto"/>
                <w:spacing w:val="4"/>
                <w:kern w:val="0"/>
                <w:sz w:val="24"/>
                <w:highlight w:val="none"/>
                <w:lang w:val="en-US" w:eastAsia="zh-CN"/>
              </w:rPr>
              <w:t>75</w:t>
            </w:r>
            <w:r>
              <w:rPr>
                <w:rFonts w:hint="default" w:ascii="Times New Roman" w:hAnsi="Times New Roman" w:eastAsia="宋体" w:cs="Times New Roman"/>
                <w:color w:val="auto"/>
                <w:spacing w:val="4"/>
                <w:kern w:val="0"/>
                <w:sz w:val="24"/>
                <w:highlight w:val="none"/>
                <w:lang w:val="en-US" w:eastAsia="zh-CN"/>
              </w:rPr>
              <w:t>万吨）和福建青拓实业股份有限公司（</w:t>
            </w:r>
            <w:r>
              <w:rPr>
                <w:rFonts w:hint="eastAsia" w:ascii="Times New Roman" w:hAnsi="Times New Roman" w:eastAsia="宋体" w:cs="Times New Roman"/>
                <w:color w:val="auto"/>
                <w:spacing w:val="4"/>
                <w:kern w:val="0"/>
                <w:sz w:val="24"/>
                <w:highlight w:val="none"/>
                <w:lang w:val="en-US" w:eastAsia="zh-CN"/>
              </w:rPr>
              <w:t>14</w:t>
            </w:r>
            <w:r>
              <w:rPr>
                <w:rFonts w:hint="default" w:ascii="Times New Roman" w:hAnsi="Times New Roman" w:eastAsia="宋体" w:cs="Times New Roman"/>
                <w:color w:val="auto"/>
                <w:spacing w:val="4"/>
                <w:kern w:val="0"/>
                <w:sz w:val="24"/>
                <w:highlight w:val="none"/>
                <w:lang w:val="en-US" w:eastAsia="zh-CN"/>
              </w:rPr>
              <w:t>万吨），</w:t>
            </w:r>
            <w:r>
              <w:rPr>
                <w:rFonts w:hint="eastAsia" w:ascii="Times New Roman" w:hAnsi="Times New Roman" w:eastAsia="宋体" w:cs="Times New Roman"/>
                <w:color w:val="auto"/>
                <w:spacing w:val="4"/>
                <w:kern w:val="0"/>
                <w:sz w:val="24"/>
                <w:highlight w:val="none"/>
                <w:lang w:val="en-US" w:eastAsia="zh-CN"/>
              </w:rPr>
              <w:t>剩余</w:t>
            </w:r>
            <w:r>
              <w:rPr>
                <w:rFonts w:hint="eastAsia" w:cs="Times New Roman"/>
                <w:color w:val="auto"/>
                <w:spacing w:val="4"/>
                <w:kern w:val="0"/>
                <w:sz w:val="24"/>
                <w:highlight w:val="none"/>
                <w:lang w:val="en-US" w:eastAsia="zh-CN"/>
              </w:rPr>
              <w:t>钢渣</w:t>
            </w:r>
            <w:r>
              <w:rPr>
                <w:rFonts w:hint="eastAsia" w:ascii="Times New Roman" w:hAnsi="Times New Roman" w:eastAsia="宋体" w:cs="Times New Roman"/>
                <w:color w:val="auto"/>
                <w:spacing w:val="4"/>
                <w:kern w:val="0"/>
                <w:sz w:val="24"/>
                <w:highlight w:val="none"/>
                <w:lang w:val="en-US" w:eastAsia="zh-CN"/>
              </w:rPr>
              <w:t>来源暂定。采用</w:t>
            </w:r>
            <w:r>
              <w:rPr>
                <w:rFonts w:hint="eastAsia" w:cs="Times New Roman"/>
                <w:color w:val="auto"/>
                <w:spacing w:val="4"/>
                <w:kern w:val="0"/>
                <w:sz w:val="24"/>
                <w:highlight w:val="none"/>
                <w:lang w:val="en-US" w:eastAsia="zh-CN"/>
              </w:rPr>
              <w:t>钢渣</w:t>
            </w:r>
            <w:r>
              <w:rPr>
                <w:rFonts w:hint="default" w:ascii="Times New Roman" w:hAnsi="Times New Roman" w:eastAsia="宋体" w:cs="Times New Roman"/>
                <w:color w:val="auto"/>
                <w:spacing w:val="4"/>
                <w:kern w:val="0"/>
                <w:sz w:val="24"/>
                <w:highlight w:val="none"/>
                <w:lang w:val="en-US" w:eastAsia="zh-CN"/>
              </w:rPr>
              <w:t>生产路基垫层138t/a和钢渣细粉12t/a，这样既处理了固废，又生产出路基垫层和钢渣细粉，变废为宝，达到了节能减排的作用。</w:t>
            </w:r>
            <w:r>
              <w:rPr>
                <w:rFonts w:hint="eastAsia" w:ascii="Times New Roman" w:hAnsi="Times New Roman" w:eastAsia="宋体" w:cs="Times New Roman"/>
                <w:color w:val="auto"/>
                <w:spacing w:val="4"/>
                <w:kern w:val="0"/>
                <w:sz w:val="24"/>
                <w:highlight w:val="none"/>
                <w:lang w:val="en-US" w:eastAsia="zh-CN"/>
              </w:rPr>
              <w:t>四家</w:t>
            </w:r>
            <w:r>
              <w:rPr>
                <w:rFonts w:hint="default" w:ascii="Times New Roman" w:hAnsi="Times New Roman" w:eastAsia="宋体" w:cs="Times New Roman"/>
                <w:color w:val="auto"/>
                <w:spacing w:val="4"/>
                <w:kern w:val="0"/>
                <w:sz w:val="24"/>
                <w:highlight w:val="none"/>
                <w:lang w:val="en-US" w:eastAsia="zh-CN"/>
              </w:rPr>
              <w:t>公司筛下</w:t>
            </w:r>
            <w:r>
              <w:rPr>
                <w:rFonts w:hint="eastAsia" w:ascii="Times New Roman" w:hAnsi="Times New Roman" w:eastAsia="宋体" w:cs="Times New Roman"/>
                <w:color w:val="auto"/>
                <w:spacing w:val="4"/>
                <w:kern w:val="0"/>
                <w:sz w:val="24"/>
                <w:highlight w:val="none"/>
                <w:lang w:val="en-US" w:eastAsia="zh-CN"/>
              </w:rPr>
              <w:t>的</w:t>
            </w:r>
            <w:r>
              <w:rPr>
                <w:rFonts w:hint="eastAsia" w:cs="Times New Roman"/>
                <w:color w:val="auto"/>
                <w:spacing w:val="4"/>
                <w:kern w:val="0"/>
                <w:sz w:val="24"/>
                <w:highlight w:val="none"/>
                <w:lang w:val="en-US" w:eastAsia="zh-CN"/>
              </w:rPr>
              <w:t>钢渣</w:t>
            </w:r>
            <w:r>
              <w:rPr>
                <w:rFonts w:hint="eastAsia" w:ascii="Times New Roman" w:hAnsi="Times New Roman" w:eastAsia="宋体" w:cs="Times New Roman"/>
                <w:color w:val="auto"/>
                <w:spacing w:val="4"/>
                <w:kern w:val="0"/>
                <w:sz w:val="24"/>
                <w:highlight w:val="none"/>
                <w:lang w:val="en-US" w:eastAsia="zh-CN"/>
              </w:rPr>
              <w:t>采用后八轮运输车（45吨/车）运输至福安市青拓环保建材有限公司</w:t>
            </w:r>
            <w:r>
              <w:rPr>
                <w:rFonts w:hint="eastAsia" w:cs="Times New Roman"/>
                <w:color w:val="auto"/>
                <w:spacing w:val="4"/>
                <w:kern w:val="0"/>
                <w:sz w:val="24"/>
                <w:highlight w:val="none"/>
                <w:lang w:val="en-US" w:eastAsia="zh-CN"/>
              </w:rPr>
              <w:t>矿渣堆棚内的</w:t>
            </w:r>
            <w:r>
              <w:rPr>
                <w:rFonts w:hint="eastAsia" w:ascii="Times New Roman" w:hAnsi="Times New Roman" w:eastAsia="宋体" w:cs="Times New Roman"/>
                <w:color w:val="auto"/>
                <w:spacing w:val="4"/>
                <w:kern w:val="0"/>
                <w:sz w:val="24"/>
                <w:highlight w:val="none"/>
                <w:lang w:val="en-US" w:eastAsia="zh-CN"/>
              </w:rPr>
              <w:t>原料堆场暂存</w:t>
            </w:r>
            <w:r>
              <w:rPr>
                <w:rFonts w:hint="eastAsia" w:cs="Times New Roman"/>
                <w:color w:val="auto"/>
                <w:spacing w:val="4"/>
                <w:kern w:val="0"/>
                <w:sz w:val="24"/>
                <w:highlight w:val="none"/>
                <w:lang w:val="en-US" w:eastAsia="zh-CN"/>
              </w:rPr>
              <w:t>。厂外</w:t>
            </w:r>
            <w:r>
              <w:rPr>
                <w:rFonts w:hint="eastAsia" w:ascii="Times New Roman" w:hAnsi="Times New Roman" w:eastAsia="宋体" w:cs="Times New Roman"/>
                <w:color w:val="auto"/>
                <w:spacing w:val="4"/>
                <w:kern w:val="0"/>
                <w:sz w:val="24"/>
                <w:highlight w:val="none"/>
                <w:lang w:val="en-US" w:eastAsia="zh-CN"/>
              </w:rPr>
              <w:t>运输</w:t>
            </w:r>
            <w:r>
              <w:rPr>
                <w:rFonts w:hint="default" w:ascii="Times New Roman" w:hAnsi="Times New Roman" w:eastAsia="宋体" w:cs="Times New Roman"/>
                <w:color w:val="auto"/>
                <w:spacing w:val="4"/>
                <w:kern w:val="0"/>
                <w:sz w:val="24"/>
                <w:highlight w:val="none"/>
                <w:lang w:val="en-US" w:eastAsia="zh-CN"/>
              </w:rPr>
              <w:t>路线</w:t>
            </w:r>
            <w:r>
              <w:rPr>
                <w:rFonts w:hint="eastAsia" w:ascii="Times New Roman" w:hAnsi="Times New Roman" w:eastAsia="宋体" w:cs="Times New Roman"/>
                <w:color w:val="auto"/>
                <w:spacing w:val="4"/>
                <w:kern w:val="0"/>
                <w:sz w:val="24"/>
                <w:highlight w:val="none"/>
                <w:lang w:val="en-US" w:eastAsia="zh-CN"/>
              </w:rPr>
              <w:t>见</w:t>
            </w:r>
            <w:r>
              <w:rPr>
                <w:rFonts w:hint="eastAsia" w:cs="Times New Roman"/>
                <w:color w:val="auto"/>
                <w:spacing w:val="4"/>
                <w:kern w:val="0"/>
                <w:sz w:val="24"/>
                <w:highlight w:val="none"/>
                <w:lang w:val="en-US" w:eastAsia="zh-CN"/>
              </w:rPr>
              <w:t>图2.1-1</w:t>
            </w:r>
            <w:r>
              <w:rPr>
                <w:rFonts w:hint="eastAsia" w:ascii="Times New Roman" w:hAnsi="Times New Roman" w:eastAsia="宋体" w:cs="Times New Roman"/>
                <w:color w:val="auto"/>
                <w:spacing w:val="4"/>
                <w:kern w:val="0"/>
                <w:sz w:val="24"/>
                <w:highlight w:val="none"/>
                <w:lang w:val="en-US" w:eastAsia="zh-CN"/>
              </w:rPr>
              <w:t>。</w:t>
            </w:r>
          </w:p>
          <w:p>
            <w:pPr>
              <w:rPr>
                <w:rFonts w:hint="eastAsia"/>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textAlignment w:val="auto"/>
              <w:rPr>
                <w:rFonts w:hint="eastAsia" w:cs="Times New Roman"/>
                <w:color w:val="auto"/>
                <w:spacing w:val="4"/>
                <w:kern w:val="0"/>
                <w:sz w:val="24"/>
                <w:highlight w:val="none"/>
                <w:lang w:val="en-US" w:eastAsia="zh-CN"/>
              </w:rPr>
            </w:pPr>
            <w:r>
              <w:rPr>
                <w:rFonts w:hint="eastAsia" w:ascii="Times New Roman" w:hAnsi="Times New Roman" w:eastAsia="宋体" w:cs="Times New Roman"/>
                <w:color w:val="auto"/>
                <w:sz w:val="24"/>
                <w:lang w:eastAsia="zh-CN"/>
              </w:rPr>
              <w:drawing>
                <wp:inline distT="0" distB="0" distL="114300" distR="114300">
                  <wp:extent cx="5033645" cy="2604135"/>
                  <wp:effectExtent l="0" t="0" r="14605" b="5715"/>
                  <wp:docPr id="87" name="图片 87" descr="运输路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运输路线"/>
                          <pic:cNvPicPr>
                            <a:picLocks noChangeAspect="1"/>
                          </pic:cNvPicPr>
                        </pic:nvPicPr>
                        <pic:blipFill>
                          <a:blip r:embed="rId11"/>
                          <a:srcRect l="10345" t="4019" r="1710" b="15098"/>
                          <a:stretch>
                            <a:fillRect/>
                          </a:stretch>
                        </pic:blipFill>
                        <pic:spPr>
                          <a:xfrm>
                            <a:off x="0" y="0"/>
                            <a:ext cx="5033645" cy="26041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厂外</w:t>
            </w:r>
            <w:r>
              <w:rPr>
                <w:rFonts w:hint="default" w:ascii="Times New Roman" w:hAnsi="Times New Roman" w:eastAsia="宋体" w:cs="Times New Roman"/>
                <w:b/>
                <w:bCs/>
                <w:color w:val="auto"/>
                <w:sz w:val="21"/>
                <w:szCs w:val="21"/>
                <w:highlight w:val="none"/>
                <w:lang w:val="en-US" w:eastAsia="zh-CN"/>
              </w:rPr>
              <w:t>运输路线图</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z w:val="24"/>
              </w:rPr>
            </w:pPr>
            <w:r>
              <w:rPr>
                <w:rFonts w:hint="eastAsia" w:cs="Times New Roman"/>
                <w:color w:val="auto"/>
                <w:spacing w:val="4"/>
                <w:kern w:val="0"/>
                <w:sz w:val="24"/>
                <w:highlight w:val="none"/>
                <w:lang w:val="en-US" w:eastAsia="zh-CN"/>
              </w:rPr>
              <w:t>钢渣为颗粒状，运输过程使用篷布遮盖，在卸车过程采用洒水抑尘，降低粉尘量。</w:t>
            </w:r>
            <w:r>
              <w:rPr>
                <w:rFonts w:hint="eastAsia" w:cs="Times New Roman"/>
                <w:color w:val="auto"/>
                <w:sz w:val="24"/>
                <w:lang w:val="en-US" w:eastAsia="zh-CN"/>
              </w:rPr>
              <w:t>本</w:t>
            </w:r>
            <w:r>
              <w:rPr>
                <w:rFonts w:hint="default" w:ascii="Times New Roman" w:hAnsi="Times New Roman" w:eastAsia="宋体" w:cs="Times New Roman"/>
                <w:color w:val="auto"/>
                <w:sz w:val="24"/>
              </w:rPr>
              <w:t>项目主要原辅材料消耗及</w:t>
            </w:r>
            <w:r>
              <w:rPr>
                <w:rFonts w:hint="default" w:ascii="Times New Roman" w:hAnsi="Times New Roman" w:eastAsia="宋体" w:cs="Times New Roman"/>
                <w:color w:val="auto"/>
                <w:sz w:val="24"/>
                <w:lang w:val="en-US" w:eastAsia="zh-CN"/>
              </w:rPr>
              <w:t>能源消耗</w:t>
            </w:r>
            <w:r>
              <w:rPr>
                <w:rFonts w:hint="default" w:ascii="Times New Roman" w:hAnsi="Times New Roman" w:eastAsia="宋体" w:cs="Times New Roman"/>
                <w:color w:val="auto"/>
                <w:sz w:val="24"/>
              </w:rPr>
              <w:t>情况见表</w:t>
            </w:r>
            <w:r>
              <w:rPr>
                <w:rFonts w:hint="default" w:ascii="Times New Roman" w:hAnsi="Times New Roman" w:eastAsia="宋体" w:cs="Times New Roman"/>
                <w:color w:val="auto"/>
                <w:sz w:val="24"/>
                <w:lang w:eastAsia="zh-CN"/>
              </w:rPr>
              <w:t>2.</w:t>
            </w:r>
            <w:r>
              <w:rPr>
                <w:rFonts w:hint="eastAsia" w:cs="Times New Roman"/>
                <w:color w:val="auto"/>
                <w:sz w:val="24"/>
                <w:lang w:val="en-US" w:eastAsia="zh-CN"/>
              </w:rPr>
              <w:t>1</w:t>
            </w:r>
            <w:r>
              <w:rPr>
                <w:rFonts w:hint="default" w:ascii="Times New Roman" w:hAnsi="Times New Roman" w:eastAsia="宋体" w:cs="Times New Roman"/>
                <w:color w:val="auto"/>
                <w:sz w:val="24"/>
              </w:rPr>
              <w:t>-</w:t>
            </w:r>
            <w:r>
              <w:rPr>
                <w:rFonts w:hint="eastAsia" w:cs="Times New Roman"/>
                <w:color w:val="auto"/>
                <w:sz w:val="24"/>
                <w:lang w:val="en-US" w:eastAsia="zh-CN"/>
              </w:rPr>
              <w:t>6</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原辅材料及能源消耗一览表</w:t>
            </w:r>
          </w:p>
          <w:tbl>
            <w:tblPr>
              <w:tblStyle w:val="33"/>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387"/>
              <w:gridCol w:w="1415"/>
              <w:gridCol w:w="3288"/>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7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原辅料名称</w:t>
                  </w:r>
                </w:p>
              </w:tc>
              <w:tc>
                <w:tcPr>
                  <w:tcW w:w="80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82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0000FF"/>
                      <w:szCs w:val="21"/>
                      <w:lang w:val="en-US" w:eastAsia="zh-CN"/>
                    </w:rPr>
                  </w:pPr>
                  <w:r>
                    <w:rPr>
                      <w:rFonts w:hint="default" w:ascii="Times New Roman" w:hAnsi="Times New Roman" w:cs="Times New Roman"/>
                      <w:color w:val="auto"/>
                      <w:szCs w:val="21"/>
                      <w:lang w:val="en-US" w:eastAsia="zh-CN"/>
                    </w:rPr>
                    <w:t>消耗量</w:t>
                  </w:r>
                </w:p>
              </w:tc>
              <w:tc>
                <w:tcPr>
                  <w:tcW w:w="190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来源</w:t>
                  </w:r>
                </w:p>
              </w:tc>
              <w:tc>
                <w:tcPr>
                  <w:tcW w:w="29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0" w:hRule="atLeast"/>
                <w:jc w:val="center"/>
              </w:trPr>
              <w:tc>
                <w:tcPr>
                  <w:tcW w:w="117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钢渣</w:t>
                  </w:r>
                </w:p>
              </w:tc>
              <w:tc>
                <w:tcPr>
                  <w:tcW w:w="80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万t/a</w:t>
                  </w:r>
                </w:p>
              </w:tc>
              <w:tc>
                <w:tcPr>
                  <w:tcW w:w="82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190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color w:val="auto"/>
                      <w:lang w:val="en-US" w:eastAsia="zh-CN"/>
                    </w:rPr>
                  </w:pPr>
                  <w:r>
                    <w:rPr>
                      <w:rFonts w:hint="eastAsia"/>
                      <w:color w:val="auto"/>
                      <w:lang w:val="en-US" w:eastAsia="zh-CN"/>
                    </w:rPr>
                    <w:t>外购</w:t>
                  </w:r>
                </w:p>
              </w:tc>
              <w:tc>
                <w:tcPr>
                  <w:tcW w:w="29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color w:val="auto"/>
                      <w:lang w:val="en-US" w:eastAsia="zh-CN"/>
                    </w:rPr>
                    <w:t>含水率约20%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w:t>
                  </w:r>
                </w:p>
              </w:tc>
              <w:tc>
                <w:tcPr>
                  <w:tcW w:w="80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万kwh/a</w:t>
                  </w:r>
                </w:p>
              </w:tc>
              <w:tc>
                <w:tcPr>
                  <w:tcW w:w="82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4875</w:t>
                  </w:r>
                </w:p>
              </w:tc>
              <w:tc>
                <w:tcPr>
                  <w:tcW w:w="190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eastAsia" w:cs="Times New Roman"/>
                      <w:i w:val="0"/>
                      <w:color w:val="auto"/>
                      <w:kern w:val="0"/>
                      <w:sz w:val="21"/>
                      <w:szCs w:val="21"/>
                      <w:u w:val="none"/>
                      <w:lang w:val="en-US" w:eastAsia="zh-CN" w:bidi="ar"/>
                    </w:rPr>
                    <w:t>从鼎信科技引入电源</w:t>
                  </w:r>
                </w:p>
              </w:tc>
              <w:tc>
                <w:tcPr>
                  <w:tcW w:w="29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7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水</w:t>
                  </w:r>
                </w:p>
              </w:tc>
              <w:tc>
                <w:tcPr>
                  <w:tcW w:w="805"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p>
              </w:tc>
              <w:tc>
                <w:tcPr>
                  <w:tcW w:w="82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3000</w:t>
                  </w:r>
                </w:p>
              </w:tc>
              <w:tc>
                <w:tcPr>
                  <w:tcW w:w="190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利用现有给水管网</w:t>
                  </w:r>
                </w:p>
              </w:tc>
              <w:tc>
                <w:tcPr>
                  <w:tcW w:w="292"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Cs w:val="21"/>
                    </w:rPr>
                  </w:pPr>
                </w:p>
              </w:tc>
            </w:tr>
          </w:tbl>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w:t>
            </w:r>
            <w:r>
              <w:rPr>
                <w:rFonts w:hint="eastAsia" w:cs="Times New Roman"/>
                <w:b/>
                <w:bCs/>
                <w:color w:val="auto"/>
                <w:sz w:val="28"/>
                <w:szCs w:val="28"/>
                <w:highlight w:val="none"/>
                <w:lang w:val="en-US" w:eastAsia="zh-CN"/>
              </w:rPr>
              <w:t>8</w:t>
            </w:r>
            <w:r>
              <w:rPr>
                <w:rFonts w:hint="default" w:ascii="Times New Roman" w:hAnsi="Times New Roman" w:eastAsia="宋体" w:cs="Times New Roman"/>
                <w:b/>
                <w:bCs/>
                <w:color w:val="auto"/>
                <w:sz w:val="28"/>
                <w:szCs w:val="28"/>
                <w:highlight w:val="none"/>
                <w:lang w:val="en-US" w:eastAsia="zh-CN"/>
              </w:rPr>
              <w:t xml:space="preserve">  给水、排水</w:t>
            </w:r>
          </w:p>
          <w:p>
            <w:pPr>
              <w:pStyle w:val="45"/>
              <w:ind w:firstLine="480"/>
              <w:rPr>
                <w:rFonts w:hint="default" w:ascii="Times New Roman" w:hAnsi="Times New Roman" w:cs="Times New Roman"/>
                <w:color w:val="auto"/>
                <w:sz w:val="24"/>
              </w:rPr>
            </w:pPr>
            <w:r>
              <w:rPr>
                <w:rFonts w:hint="default" w:ascii="Times New Roman" w:hAnsi="Times New Roman" w:cs="Times New Roman"/>
                <w:color w:val="auto"/>
                <w:sz w:val="24"/>
              </w:rPr>
              <w:t>（1）给水</w:t>
            </w:r>
          </w:p>
          <w:p>
            <w:pPr>
              <w:pStyle w:val="45"/>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技改</w:t>
            </w:r>
            <w:r>
              <w:rPr>
                <w:rFonts w:hint="default" w:ascii="Times New Roman" w:hAnsi="Times New Roman" w:eastAsia="宋体" w:cs="Times New Roman"/>
                <w:color w:val="auto"/>
                <w:sz w:val="24"/>
                <w:lang w:val="en-US" w:eastAsia="zh-CN"/>
              </w:rPr>
              <w:t>项目位于福建省</w:t>
            </w:r>
            <w:r>
              <w:rPr>
                <w:rFonts w:hint="eastAsia" w:ascii="Times New Roman" w:hAnsi="Times New Roman" w:eastAsia="宋体" w:cs="Times New Roman"/>
                <w:color w:val="auto"/>
                <w:sz w:val="24"/>
                <w:lang w:val="en-US" w:eastAsia="zh-CN"/>
              </w:rPr>
              <w:t>宁德</w:t>
            </w:r>
            <w:r>
              <w:rPr>
                <w:rFonts w:hint="default" w:ascii="Times New Roman" w:hAnsi="Times New Roman" w:eastAsia="宋体" w:cs="Times New Roman"/>
                <w:color w:val="auto"/>
                <w:sz w:val="24"/>
                <w:lang w:val="en-US" w:eastAsia="zh-CN"/>
              </w:rPr>
              <w:t>市福安市湾坞镇上洋村</w:t>
            </w:r>
            <w:r>
              <w:rPr>
                <w:rFonts w:hint="eastAsia" w:ascii="Times New Roman" w:hAnsi="Times New Roman" w:eastAsia="宋体" w:cs="Times New Roman"/>
                <w:color w:val="auto"/>
                <w:sz w:val="24"/>
                <w:lang w:val="en-US" w:eastAsia="zh-CN"/>
              </w:rPr>
              <w:t>福安市青拓环保建材有限公司厂区内</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本项目供水来源于厂区外城镇管网，生产及生活用水由厂外给水管网接入厂区。</w:t>
            </w:r>
          </w:p>
          <w:p>
            <w:pPr>
              <w:pStyle w:val="45"/>
              <w:ind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（2）排水</w:t>
            </w:r>
          </w:p>
          <w:p>
            <w:pPr>
              <w:pStyle w:val="45"/>
              <w:ind w:firstLine="48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技改</w:t>
            </w:r>
            <w:r>
              <w:rPr>
                <w:rFonts w:hint="default" w:ascii="Times New Roman" w:hAnsi="Times New Roman" w:eastAsia="宋体" w:cs="Times New Roman"/>
                <w:color w:val="auto"/>
                <w:sz w:val="24"/>
                <w:lang w:val="en-US" w:eastAsia="zh-CN"/>
              </w:rPr>
              <w:t>项目排水采用雨污分流的形式，</w:t>
            </w:r>
            <w:r>
              <w:rPr>
                <w:rFonts w:hint="eastAsia" w:ascii="Times New Roman" w:hAnsi="Times New Roman" w:eastAsia="宋体" w:cs="Times New Roman"/>
                <w:color w:val="auto"/>
                <w:sz w:val="24"/>
                <w:lang w:val="en-US" w:eastAsia="zh-CN"/>
              </w:rPr>
              <w:t>主要废水为生活污水和初期雨污水。生活污水采用地埋式化粪池处理，初期雨水采用“沉淀</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 xml:space="preserve">过滤”处理，分别处理后一并排入湾坞西污水处理厂统一处理。 </w:t>
            </w:r>
          </w:p>
          <w:p>
            <w:pPr>
              <w:pStyle w:val="45"/>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技改</w:t>
            </w:r>
            <w:r>
              <w:rPr>
                <w:rFonts w:hint="default" w:ascii="Times New Roman" w:hAnsi="Times New Roman" w:eastAsia="宋体" w:cs="Times New Roman"/>
                <w:color w:val="auto"/>
                <w:sz w:val="24"/>
                <w:lang w:val="en-US" w:eastAsia="zh-CN"/>
              </w:rPr>
              <w:t>项目无新增职工人数，公司内部调配，</w:t>
            </w:r>
            <w:r>
              <w:rPr>
                <w:rFonts w:hint="eastAsia" w:ascii="Times New Roman" w:hAnsi="Times New Roman" w:eastAsia="宋体" w:cs="Times New Roman"/>
                <w:color w:val="auto"/>
                <w:sz w:val="24"/>
                <w:lang w:val="en-US" w:eastAsia="zh-CN"/>
              </w:rPr>
              <w:t>福安市青拓环保建材有限公司</w:t>
            </w:r>
            <w:r>
              <w:rPr>
                <w:rFonts w:hint="default" w:ascii="Times New Roman" w:hAnsi="Times New Roman" w:eastAsia="宋体" w:cs="Times New Roman"/>
                <w:color w:val="auto"/>
                <w:sz w:val="24"/>
                <w:lang w:val="en-US" w:eastAsia="zh-CN"/>
              </w:rPr>
              <w:t>生活污水的排放量和排放参数基本不变。</w:t>
            </w:r>
          </w:p>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（3）消防给水</w:t>
            </w:r>
          </w:p>
          <w:p>
            <w:pPr>
              <w:pStyle w:val="4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sz w:val="24"/>
              </w:rPr>
            </w:pPr>
            <w:r>
              <w:rPr>
                <w:rFonts w:hint="eastAsia" w:ascii="Times New Roman" w:hAnsi="Times New Roman" w:eastAsia="宋体" w:cs="Times New Roman"/>
                <w:color w:val="auto"/>
                <w:sz w:val="24"/>
                <w:lang w:val="en-US" w:eastAsia="zh-CN"/>
              </w:rPr>
              <w:t>技改</w:t>
            </w:r>
            <w:r>
              <w:rPr>
                <w:rFonts w:hint="default" w:ascii="Times New Roman" w:hAnsi="Times New Roman" w:eastAsia="宋体" w:cs="Times New Roman"/>
                <w:color w:val="auto"/>
                <w:sz w:val="24"/>
                <w:lang w:val="en-US" w:eastAsia="zh-CN"/>
              </w:rPr>
              <w:t>项目</w:t>
            </w:r>
            <w:r>
              <w:rPr>
                <w:rFonts w:hint="default" w:ascii="Times New Roman" w:hAnsi="Times New Roman" w:cs="Times New Roman"/>
                <w:color w:val="auto"/>
                <w:sz w:val="24"/>
              </w:rPr>
              <w:t>消防给水</w:t>
            </w:r>
            <w:r>
              <w:rPr>
                <w:rFonts w:hint="default" w:ascii="Times New Roman" w:hAnsi="Times New Roman" w:cs="Times New Roman"/>
                <w:color w:val="auto"/>
                <w:sz w:val="24"/>
                <w:lang w:val="en-US" w:eastAsia="zh-CN"/>
              </w:rPr>
              <w:t>依托公司</w:t>
            </w:r>
            <w:r>
              <w:rPr>
                <w:rFonts w:hint="eastAsia" w:cs="Times New Roman"/>
                <w:color w:val="auto"/>
                <w:sz w:val="24"/>
                <w:lang w:val="en-US" w:eastAsia="zh-CN"/>
              </w:rPr>
              <w:t>现</w:t>
            </w:r>
            <w:r>
              <w:rPr>
                <w:rFonts w:hint="default" w:ascii="Times New Roman" w:hAnsi="Times New Roman" w:cs="Times New Roman"/>
                <w:color w:val="auto"/>
                <w:sz w:val="24"/>
                <w:lang w:val="en-US" w:eastAsia="zh-CN"/>
              </w:rPr>
              <w:t>有设施。</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w:t>
            </w:r>
            <w:r>
              <w:rPr>
                <w:rFonts w:hint="eastAsia" w:cs="Times New Roman"/>
                <w:b/>
                <w:bCs/>
                <w:color w:val="auto"/>
                <w:sz w:val="28"/>
                <w:szCs w:val="28"/>
                <w:highlight w:val="none"/>
                <w:lang w:val="en-US" w:eastAsia="zh-CN"/>
              </w:rPr>
              <w:t>9</w:t>
            </w:r>
            <w:r>
              <w:rPr>
                <w:rFonts w:hint="default" w:ascii="Times New Roman" w:hAnsi="Times New Roman" w:eastAsia="宋体" w:cs="Times New Roman"/>
                <w:b/>
                <w:bCs/>
                <w:color w:val="auto"/>
                <w:sz w:val="28"/>
                <w:szCs w:val="28"/>
                <w:highlight w:val="none"/>
                <w:lang w:val="en-US" w:eastAsia="zh-CN"/>
              </w:rPr>
              <w:t>水平衡</w:t>
            </w:r>
          </w:p>
          <w:p>
            <w:pPr>
              <w:pStyle w:val="80"/>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本项目</w:t>
            </w:r>
            <w:r>
              <w:rPr>
                <w:rFonts w:hint="default" w:ascii="Times New Roman" w:hAnsi="Times New Roman" w:eastAsia="宋体" w:cs="Times New Roman"/>
                <w:color w:val="auto"/>
                <w:sz w:val="24"/>
                <w:lang w:val="en-US" w:eastAsia="zh-CN"/>
              </w:rPr>
              <w:t>无新增职工人数，公司内部调配，</w:t>
            </w:r>
            <w:r>
              <w:rPr>
                <w:rFonts w:hint="eastAsia" w:ascii="Times New Roman" w:hAnsi="Times New Roman" w:eastAsia="宋体" w:cs="Times New Roman"/>
                <w:color w:val="auto"/>
                <w:sz w:val="24"/>
                <w:lang w:val="en-US" w:eastAsia="zh-CN"/>
              </w:rPr>
              <w:t>福安市青拓环保建材有限公司</w:t>
            </w:r>
            <w:r>
              <w:rPr>
                <w:rFonts w:hint="default" w:ascii="Times New Roman" w:hAnsi="Times New Roman" w:eastAsia="宋体" w:cs="Times New Roman"/>
                <w:color w:val="auto"/>
                <w:sz w:val="24"/>
                <w:lang w:val="en-US" w:eastAsia="zh-CN"/>
              </w:rPr>
              <w:t>生活</w:t>
            </w:r>
            <w:r>
              <w:rPr>
                <w:rFonts w:hint="eastAsia" w:ascii="Times New Roman" w:hAnsi="Times New Roman" w:cs="Times New Roman"/>
                <w:color w:val="auto"/>
                <w:sz w:val="24"/>
                <w:lang w:val="en-US" w:eastAsia="zh-CN"/>
              </w:rPr>
              <w:t>用水量不变。</w:t>
            </w:r>
            <w:r>
              <w:rPr>
                <w:rFonts w:hint="default" w:ascii="Times New Roman" w:hAnsi="Times New Roman" w:eastAsia="宋体" w:cs="Times New Roman"/>
                <w:snapToGrid w:val="0"/>
                <w:color w:val="auto"/>
                <w:kern w:val="0"/>
                <w:highlight w:val="none"/>
                <w:lang w:val="en-US" w:eastAsia="zh-CN"/>
              </w:rPr>
              <w:t>本项目对堆场等产生粉尘区域，通过洒水抑尘降低粉尘对周边环境的影响，</w:t>
            </w:r>
            <w:r>
              <w:rPr>
                <w:rFonts w:hint="eastAsia" w:ascii="Times New Roman" w:hAnsi="Times New Roman" w:cs="Times New Roman"/>
                <w:snapToGrid w:val="0"/>
                <w:color w:val="auto"/>
                <w:kern w:val="0"/>
                <w:highlight w:val="none"/>
                <w:lang w:val="en-US" w:eastAsia="zh-CN"/>
              </w:rPr>
              <w:t>按3</w:t>
            </w:r>
            <w:r>
              <w:rPr>
                <w:rFonts w:hint="default" w:ascii="Times New Roman" w:hAnsi="Times New Roman" w:eastAsia="宋体" w:cs="Times New Roman"/>
                <w:snapToGrid w:val="0"/>
                <w:color w:val="auto"/>
                <w:kern w:val="0"/>
                <w:highlight w:val="none"/>
                <w:lang w:val="en-US" w:eastAsia="zh-CN"/>
              </w:rPr>
              <w:t>m</w:t>
            </w:r>
            <w:r>
              <w:rPr>
                <w:rFonts w:hint="default" w:ascii="Times New Roman" w:hAnsi="Times New Roman" w:eastAsia="宋体" w:cs="Times New Roman"/>
                <w:snapToGrid w:val="0"/>
                <w:color w:val="auto"/>
                <w:kern w:val="0"/>
                <w:highlight w:val="none"/>
                <w:vertAlign w:val="superscript"/>
                <w:lang w:val="en-US" w:eastAsia="zh-CN"/>
              </w:rPr>
              <w:t>3</w:t>
            </w:r>
            <w:r>
              <w:rPr>
                <w:rFonts w:hint="default" w:ascii="Times New Roman" w:hAnsi="Times New Roman" w:eastAsia="宋体" w:cs="Times New Roman"/>
                <w:snapToGrid w:val="0"/>
                <w:color w:val="auto"/>
                <w:kern w:val="0"/>
                <w:highlight w:val="none"/>
                <w:lang w:val="en-US" w:eastAsia="zh-CN"/>
              </w:rPr>
              <w:t xml:space="preserve"> /</w:t>
            </w:r>
            <w:r>
              <w:rPr>
                <w:rFonts w:hint="eastAsia" w:ascii="Times New Roman" w:hAnsi="Times New Roman" w:cs="Times New Roman"/>
                <w:snapToGrid w:val="0"/>
                <w:color w:val="auto"/>
                <w:kern w:val="0"/>
                <w:highlight w:val="none"/>
                <w:lang w:val="en-US" w:eastAsia="zh-CN"/>
              </w:rPr>
              <w:t>d计算</w:t>
            </w:r>
            <w:r>
              <w:rPr>
                <w:rFonts w:hint="default" w:ascii="Times New Roman" w:hAnsi="Times New Roman" w:eastAsia="宋体" w:cs="Times New Roman"/>
                <w:snapToGrid w:val="0"/>
                <w:color w:val="auto"/>
                <w:kern w:val="0"/>
                <w:highlight w:val="none"/>
                <w:lang w:val="en-US" w:eastAsia="zh-CN"/>
              </w:rPr>
              <w:t>，全年工作时间约300天，用水量约为</w:t>
            </w:r>
            <w:r>
              <w:rPr>
                <w:rFonts w:hint="eastAsia" w:ascii="Times New Roman" w:hAnsi="Times New Roman" w:cs="Times New Roman"/>
                <w:snapToGrid w:val="0"/>
                <w:color w:val="auto"/>
                <w:kern w:val="0"/>
                <w:highlight w:val="none"/>
                <w:lang w:val="en-US" w:eastAsia="zh-CN"/>
              </w:rPr>
              <w:t>9</w:t>
            </w:r>
            <w:r>
              <w:rPr>
                <w:rFonts w:hint="default" w:ascii="Times New Roman" w:hAnsi="Times New Roman" w:eastAsia="宋体" w:cs="Times New Roman"/>
                <w:snapToGrid w:val="0"/>
                <w:color w:val="auto"/>
                <w:kern w:val="0"/>
                <w:highlight w:val="none"/>
                <w:lang w:val="en-US" w:eastAsia="zh-CN"/>
              </w:rPr>
              <w:t>00m</w:t>
            </w:r>
            <w:r>
              <w:rPr>
                <w:rFonts w:hint="default" w:ascii="Times New Roman" w:hAnsi="Times New Roman" w:eastAsia="宋体" w:cs="Times New Roman"/>
                <w:snapToGrid w:val="0"/>
                <w:color w:val="auto"/>
                <w:kern w:val="0"/>
                <w:highlight w:val="none"/>
                <w:vertAlign w:val="superscript"/>
                <w:lang w:val="en-US" w:eastAsia="zh-CN"/>
              </w:rPr>
              <w:t>3</w:t>
            </w:r>
            <w:r>
              <w:rPr>
                <w:rFonts w:hint="default" w:ascii="Times New Roman" w:hAnsi="Times New Roman" w:eastAsia="宋体" w:cs="Times New Roman"/>
                <w:snapToGrid w:val="0"/>
                <w:color w:val="auto"/>
                <w:kern w:val="0"/>
                <w:highlight w:val="none"/>
                <w:lang w:val="en-US" w:eastAsia="zh-CN"/>
              </w:rPr>
              <w:t xml:space="preserve"> /a，由当地自来水管网提供</w:t>
            </w:r>
            <w:r>
              <w:rPr>
                <w:rFonts w:hint="eastAsia" w:ascii="Times New Roman" w:hAnsi="Times New Roman" w:cs="Times New Roman"/>
                <w:snapToGrid w:val="0"/>
                <w:color w:val="auto"/>
                <w:kern w:val="0"/>
                <w:highlight w:val="none"/>
                <w:lang w:val="en-US" w:eastAsia="zh-CN"/>
              </w:rPr>
              <w:t>，</w:t>
            </w:r>
            <w:r>
              <w:rPr>
                <w:rFonts w:hint="default" w:ascii="Times New Roman" w:hAnsi="Times New Roman" w:eastAsia="宋体" w:cs="Times New Roman"/>
                <w:snapToGrid w:val="0"/>
                <w:color w:val="auto"/>
                <w:kern w:val="0"/>
                <w:highlight w:val="none"/>
                <w:lang w:val="en-US" w:eastAsia="zh-CN"/>
              </w:rPr>
              <w:t>水分</w:t>
            </w:r>
            <w:r>
              <w:rPr>
                <w:rFonts w:hint="eastAsia" w:ascii="Times New Roman" w:hAnsi="Times New Roman" w:cs="Times New Roman"/>
                <w:snapToGrid w:val="0"/>
                <w:color w:val="auto"/>
                <w:kern w:val="0"/>
                <w:highlight w:val="none"/>
                <w:lang w:val="en-US" w:eastAsia="zh-CN"/>
              </w:rPr>
              <w:t>部分</w:t>
            </w:r>
            <w:r>
              <w:rPr>
                <w:rFonts w:hint="default" w:ascii="Times New Roman" w:hAnsi="Times New Roman" w:eastAsia="宋体" w:cs="Times New Roman"/>
                <w:snapToGrid w:val="0"/>
                <w:color w:val="auto"/>
                <w:kern w:val="0"/>
                <w:highlight w:val="none"/>
                <w:lang w:val="en-US" w:eastAsia="zh-CN"/>
              </w:rPr>
              <w:t>到产品</w:t>
            </w:r>
            <w:r>
              <w:rPr>
                <w:rFonts w:hint="eastAsia" w:ascii="Times New Roman" w:hAnsi="Times New Roman" w:cs="Times New Roman"/>
                <w:snapToGrid w:val="0"/>
                <w:color w:val="auto"/>
                <w:kern w:val="0"/>
                <w:highlight w:val="none"/>
                <w:lang w:val="en-US" w:eastAsia="zh-CN"/>
              </w:rPr>
              <w:t>，部分蒸发</w:t>
            </w:r>
            <w:r>
              <w:rPr>
                <w:rFonts w:hint="default" w:ascii="Times New Roman" w:hAnsi="Times New Roman" w:eastAsia="宋体" w:cs="Times New Roman"/>
                <w:snapToGrid w:val="0"/>
                <w:color w:val="auto"/>
                <w:kern w:val="0"/>
                <w:highlight w:val="none"/>
                <w:lang w:val="en-US" w:eastAsia="zh-CN"/>
              </w:rPr>
              <w:t>，无工艺废水产生</w:t>
            </w:r>
            <w:r>
              <w:rPr>
                <w:rFonts w:hint="eastAsia" w:ascii="Times New Roman" w:hAnsi="Times New Roman" w:cs="Times New Roman"/>
                <w:snapToGrid w:val="0"/>
                <w:color w:val="auto"/>
                <w:kern w:val="0"/>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lang w:val="en-US" w:eastAsia="zh-CN"/>
              </w:rPr>
              <w:t>1</w:t>
            </w:r>
            <w:r>
              <w:rPr>
                <w:rFonts w:hint="eastAsia" w:cs="Times New Roman"/>
                <w:b/>
                <w:bCs/>
                <w:color w:val="auto"/>
                <w:sz w:val="28"/>
                <w:szCs w:val="28"/>
                <w:highlight w:val="none"/>
                <w:lang w:val="en-US" w:eastAsia="zh-CN"/>
              </w:rPr>
              <w:t>0</w:t>
            </w:r>
            <w:r>
              <w:rPr>
                <w:rFonts w:hint="eastAsia" w:ascii="Times New Roman" w:hAnsi="Times New Roman" w:eastAsia="宋体" w:cs="Times New Roman"/>
                <w:b/>
                <w:bCs/>
                <w:color w:val="auto"/>
                <w:sz w:val="28"/>
                <w:szCs w:val="28"/>
                <w:highlight w:val="none"/>
                <w:lang w:val="en-US" w:eastAsia="zh-CN"/>
              </w:rPr>
              <w:t>物料</w:t>
            </w:r>
            <w:r>
              <w:rPr>
                <w:rFonts w:hint="default" w:ascii="Times New Roman" w:hAnsi="Times New Roman" w:eastAsia="宋体" w:cs="Times New Roman"/>
                <w:b/>
                <w:bCs/>
                <w:color w:val="auto"/>
                <w:sz w:val="28"/>
                <w:szCs w:val="28"/>
                <w:highlight w:val="none"/>
                <w:lang w:val="en-US" w:eastAsia="zh-CN"/>
              </w:rPr>
              <w:t>平衡</w:t>
            </w:r>
          </w:p>
          <w:p>
            <w:pPr>
              <w:pStyle w:val="45"/>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left="0" w:leftChars="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default" w:ascii="Times New Roman" w:hAnsi="Times New Roman" w:eastAsia="宋体" w:cs="Times New Roman"/>
                <w:snapToGrid w:val="0"/>
                <w:color w:val="auto"/>
                <w:kern w:val="0"/>
                <w:sz w:val="24"/>
                <w:szCs w:val="24"/>
                <w:highlight w:val="none"/>
                <w:lang w:val="en-US" w:eastAsia="zh-CN" w:bidi="ar-SA"/>
              </w:rPr>
              <w:t>本项目物料平衡见表2.</w:t>
            </w:r>
            <w:r>
              <w:rPr>
                <w:rFonts w:hint="eastAsia" w:cs="Times New Roman"/>
                <w:snapToGrid w:val="0"/>
                <w:color w:val="auto"/>
                <w:kern w:val="0"/>
                <w:sz w:val="24"/>
                <w:szCs w:val="24"/>
                <w:highlight w:val="none"/>
                <w:lang w:val="en-US" w:eastAsia="zh-CN" w:bidi="ar-SA"/>
              </w:rPr>
              <w:t>1</w:t>
            </w:r>
            <w:r>
              <w:rPr>
                <w:rFonts w:hint="default" w:ascii="Times New Roman" w:hAnsi="Times New Roman" w:eastAsia="宋体" w:cs="Times New Roman"/>
                <w:snapToGrid w:val="0"/>
                <w:color w:val="auto"/>
                <w:kern w:val="0"/>
                <w:sz w:val="24"/>
                <w:szCs w:val="24"/>
                <w:highlight w:val="none"/>
                <w:lang w:val="en-US" w:eastAsia="zh-CN" w:bidi="ar-SA"/>
              </w:rPr>
              <w:t>-</w:t>
            </w:r>
            <w:r>
              <w:rPr>
                <w:rFonts w:hint="eastAsia" w:cs="Times New Roman"/>
                <w:snapToGrid w:val="0"/>
                <w:color w:val="auto"/>
                <w:kern w:val="0"/>
                <w:sz w:val="24"/>
                <w:szCs w:val="24"/>
                <w:highlight w:val="none"/>
                <w:lang w:val="en-US" w:eastAsia="zh-CN" w:bidi="ar-SA"/>
              </w:rPr>
              <w:t>7</w:t>
            </w:r>
            <w:r>
              <w:rPr>
                <w:rFonts w:hint="eastAsia" w:ascii="Times New Roman" w:hAnsi="Times New Roman" w:eastAsia="宋体" w:cs="Times New Roman"/>
                <w:snapToGrid w:val="0"/>
                <w:color w:val="auto"/>
                <w:kern w:val="0"/>
                <w:sz w:val="24"/>
                <w:szCs w:val="24"/>
                <w:highlight w:val="none"/>
                <w:lang w:val="en-US" w:eastAsia="zh-CN" w:bidi="ar-SA"/>
              </w:rPr>
              <w:t>。</w:t>
            </w:r>
          </w:p>
          <w:p>
            <w:pPr>
              <w:pStyle w:val="104"/>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表2.</w:t>
            </w:r>
            <w:r>
              <w:rPr>
                <w:rFonts w:hint="eastAsia" w:eastAsia="宋体"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w:t>
            </w:r>
            <w:r>
              <w:rPr>
                <w:rFonts w:hint="eastAsia" w:eastAsia="宋体" w:cs="Times New Roman"/>
                <w:b/>
                <w:bCs/>
                <w:color w:val="auto"/>
                <w:kern w:val="2"/>
                <w:sz w:val="24"/>
                <w:szCs w:val="24"/>
                <w:lang w:val="en-US" w:eastAsia="zh-CN" w:bidi="ar-SA"/>
              </w:rPr>
              <w:t>7</w:t>
            </w:r>
            <w:r>
              <w:rPr>
                <w:rFonts w:hint="default" w:ascii="Times New Roman" w:hAnsi="Times New Roman" w:eastAsia="宋体" w:cs="Times New Roman"/>
                <w:b/>
                <w:bCs/>
                <w:color w:val="auto"/>
                <w:kern w:val="2"/>
                <w:sz w:val="24"/>
                <w:szCs w:val="24"/>
                <w:lang w:val="en-US" w:eastAsia="zh-CN" w:bidi="ar-SA"/>
              </w:rPr>
              <w:t xml:space="preserve">  主要物料平衡一览表</w:t>
            </w:r>
          </w:p>
          <w:tbl>
            <w:tblPr>
              <w:tblStyle w:val="33"/>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4"/>
              <w:gridCol w:w="1124"/>
              <w:gridCol w:w="1210"/>
              <w:gridCol w:w="1403"/>
              <w:gridCol w:w="1754"/>
              <w:gridCol w:w="23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17" w:type="pct"/>
                  <w:gridSpan w:val="3"/>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投入</w:t>
                  </w:r>
                </w:p>
              </w:tc>
              <w:tc>
                <w:tcPr>
                  <w:tcW w:w="1834" w:type="pct"/>
                  <w:gridSpan w:val="2"/>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产出</w:t>
                  </w:r>
                </w:p>
              </w:tc>
              <w:tc>
                <w:tcPr>
                  <w:tcW w:w="1347" w:type="pct"/>
                  <w:vMerge w:val="restar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1"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653"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物料名称</w:t>
                  </w:r>
                </w:p>
              </w:tc>
              <w:tc>
                <w:tcPr>
                  <w:tcW w:w="703" w:type="pct"/>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年用量</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（吨/年）</w:t>
                  </w:r>
                </w:p>
              </w:tc>
              <w:tc>
                <w:tcPr>
                  <w:tcW w:w="815"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物料名称</w:t>
                  </w:r>
                </w:p>
              </w:tc>
              <w:tc>
                <w:tcPr>
                  <w:tcW w:w="1019"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年用量</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（吨/年）</w:t>
                  </w:r>
                </w:p>
              </w:tc>
              <w:tc>
                <w:tcPr>
                  <w:tcW w:w="1347" w:type="pct"/>
                  <w:vMerge w:val="continue"/>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1"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53"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钢渣</w:t>
                  </w:r>
                </w:p>
              </w:tc>
              <w:tc>
                <w:tcPr>
                  <w:tcW w:w="703" w:type="pct"/>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216</w:t>
                  </w:r>
                  <w:r>
                    <w:rPr>
                      <w:rFonts w:hint="eastAsia" w:ascii="Times New Roman" w:hAnsi="Times New Roman" w:eastAsia="宋体" w:cs="Times New Roman"/>
                      <w:color w:val="auto"/>
                      <w:sz w:val="21"/>
                      <w:szCs w:val="21"/>
                      <w:highlight w:val="none"/>
                      <w:lang w:val="en-US" w:eastAsia="zh-CN"/>
                    </w:rPr>
                    <w:t>0</w:t>
                  </w:r>
                </w:p>
              </w:tc>
              <w:tc>
                <w:tcPr>
                  <w:tcW w:w="815"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路基垫层</w:t>
                  </w:r>
                </w:p>
              </w:tc>
              <w:tc>
                <w:tcPr>
                  <w:tcW w:w="1019"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1380000</w:t>
                  </w:r>
                </w:p>
              </w:tc>
              <w:tc>
                <w:tcPr>
                  <w:tcW w:w="1347"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1"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653"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03" w:type="pct"/>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815"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钢渣细粉</w:t>
                  </w:r>
                </w:p>
              </w:tc>
              <w:tc>
                <w:tcPr>
                  <w:tcW w:w="1019"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120000</w:t>
                  </w:r>
                </w:p>
              </w:tc>
              <w:tc>
                <w:tcPr>
                  <w:tcW w:w="1347"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1"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53"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03" w:type="pct"/>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815"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除尘灰</w:t>
                  </w:r>
                </w:p>
              </w:tc>
              <w:tc>
                <w:tcPr>
                  <w:tcW w:w="1019"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2117.02</w:t>
                  </w:r>
                </w:p>
              </w:tc>
              <w:tc>
                <w:tcPr>
                  <w:tcW w:w="1347"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回用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1"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w:t>
                  </w:r>
                </w:p>
              </w:tc>
              <w:tc>
                <w:tcPr>
                  <w:tcW w:w="653"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03" w:type="pct"/>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815"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019"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42.98</w:t>
                  </w:r>
                </w:p>
              </w:tc>
              <w:tc>
                <w:tcPr>
                  <w:tcW w:w="1347"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14" w:type="pct"/>
                  <w:gridSpan w:val="2"/>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合计 </w:t>
                  </w:r>
                </w:p>
              </w:tc>
              <w:tc>
                <w:tcPr>
                  <w:tcW w:w="703" w:type="pct"/>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216</w:t>
                  </w:r>
                  <w:r>
                    <w:rPr>
                      <w:rFonts w:hint="eastAsia" w:ascii="Times New Roman" w:hAnsi="Times New Roman" w:eastAsia="宋体" w:cs="Times New Roman"/>
                      <w:color w:val="auto"/>
                      <w:sz w:val="21"/>
                      <w:szCs w:val="21"/>
                      <w:highlight w:val="none"/>
                      <w:lang w:val="en-US" w:eastAsia="zh-CN"/>
                    </w:rPr>
                    <w:t>0</w:t>
                  </w:r>
                </w:p>
              </w:tc>
              <w:tc>
                <w:tcPr>
                  <w:tcW w:w="815"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019" w:type="pct"/>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216</w:t>
                  </w:r>
                  <w:r>
                    <w:rPr>
                      <w:rFonts w:hint="eastAsia" w:ascii="Times New Roman" w:hAnsi="Times New Roman" w:eastAsia="宋体" w:cs="Times New Roman"/>
                      <w:color w:val="auto"/>
                      <w:sz w:val="21"/>
                      <w:szCs w:val="21"/>
                      <w:highlight w:val="none"/>
                      <w:lang w:val="en-US" w:eastAsia="zh-CN"/>
                    </w:rPr>
                    <w:t>0</w:t>
                  </w:r>
                </w:p>
              </w:tc>
              <w:tc>
                <w:tcPr>
                  <w:tcW w:w="1347" w:type="pct"/>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.1</w:t>
            </w:r>
            <w:r>
              <w:rPr>
                <w:rFonts w:hint="eastAsia" w:cs="Times New Roman"/>
                <w:b/>
                <w:bCs/>
                <w:color w:val="auto"/>
                <w:sz w:val="28"/>
                <w:szCs w:val="28"/>
                <w:highlight w:val="none"/>
                <w:lang w:val="en-US" w:eastAsia="zh-CN"/>
              </w:rPr>
              <w:t>1</w:t>
            </w:r>
            <w:r>
              <w:rPr>
                <w:rFonts w:hint="default" w:ascii="Times New Roman" w:hAnsi="Times New Roman" w:eastAsia="宋体" w:cs="Times New Roman"/>
                <w:b/>
                <w:bCs/>
                <w:color w:val="auto"/>
                <w:sz w:val="28"/>
                <w:szCs w:val="28"/>
                <w:highlight w:val="none"/>
                <w:lang w:val="en-US" w:eastAsia="zh-CN"/>
              </w:rPr>
              <w:t xml:space="preserve">  总平布局及合理性分析</w:t>
            </w:r>
          </w:p>
          <w:p>
            <w:pPr>
              <w:pStyle w:val="45"/>
              <w:ind w:firstLine="480"/>
              <w:rPr>
                <w:rFonts w:hint="eastAsia" w:cs="Times New Roman"/>
                <w:color w:val="auto"/>
                <w:sz w:val="24"/>
                <w:highlight w:val="none"/>
                <w:lang w:val="en-US" w:eastAsia="zh-CN"/>
              </w:rPr>
            </w:pPr>
            <w:r>
              <w:rPr>
                <w:rFonts w:hint="eastAsia" w:cs="Times New Roman"/>
                <w:color w:val="auto"/>
                <w:sz w:val="24"/>
                <w:lang w:val="en-US" w:eastAsia="zh-CN"/>
              </w:rPr>
              <w:t>技改项目建设于福安市青拓环保建材有限公司厂区内现有矿渣堆棚厂房，不新建设厂房。矿渣堆棚厂房四面围挡且有顶棚，厂房内东南侧现有原料装卸车坑和上料输送设备，将矿渣堆棚厂房西北侧划出2000</w:t>
            </w:r>
            <w:r>
              <w:rPr>
                <w:rFonts w:hint="default" w:ascii="Times New Roman" w:hAnsi="Times New Roman" w:eastAsia="宋体" w:cs="Times New Roman"/>
                <w:snapToGrid w:val="0"/>
                <w:color w:val="auto"/>
                <w:kern w:val="0"/>
                <w:highlight w:val="none"/>
                <w:lang w:val="en-US" w:eastAsia="zh-CN"/>
              </w:rPr>
              <w:t>m</w:t>
            </w:r>
            <w:r>
              <w:rPr>
                <w:rFonts w:hint="eastAsia" w:cs="Times New Roman"/>
                <w:snapToGrid w:val="0"/>
                <w:color w:val="auto"/>
                <w:kern w:val="0"/>
                <w:highlight w:val="none"/>
                <w:vertAlign w:val="superscript"/>
                <w:lang w:val="en-US" w:eastAsia="zh-CN"/>
              </w:rPr>
              <w:t>2</w:t>
            </w:r>
            <w:r>
              <w:rPr>
                <w:rFonts w:hint="default" w:ascii="Times New Roman" w:hAnsi="Times New Roman" w:eastAsia="宋体" w:cs="Times New Roman"/>
                <w:snapToGrid w:val="0"/>
                <w:color w:val="auto"/>
                <w:kern w:val="0"/>
                <w:highlight w:val="none"/>
                <w:lang w:val="en-US" w:eastAsia="zh-CN"/>
              </w:rPr>
              <w:t xml:space="preserve"> </w:t>
            </w:r>
            <w:r>
              <w:rPr>
                <w:rFonts w:hint="eastAsia" w:cs="Times New Roman"/>
                <w:color w:val="auto"/>
                <w:sz w:val="24"/>
                <w:lang w:val="en-US" w:eastAsia="zh-CN"/>
              </w:rPr>
              <w:t>区域作为钢渣综合利用项目车间，车间面积占矿渣堆棚厂房面积的十三分之一；原料堆放在矿渣堆棚厂房内的原料堆场，原料堆场位于钢渣综合利用项目车间南侧，三面围挡且采用洒水抑尘设施，</w:t>
            </w:r>
            <w:r>
              <w:rPr>
                <w:rFonts w:hint="default" w:ascii="Times New Roman" w:hAnsi="Times New Roman" w:eastAsia="宋体" w:cs="Times New Roman"/>
                <w:color w:val="auto"/>
                <w:spacing w:val="4"/>
                <w:kern w:val="0"/>
                <w:sz w:val="24"/>
                <w:highlight w:val="none"/>
                <w:lang w:val="en-US" w:eastAsia="zh-CN"/>
              </w:rPr>
              <w:t>有利于</w:t>
            </w:r>
            <w:r>
              <w:rPr>
                <w:rFonts w:hint="default" w:ascii="Times New Roman" w:hAnsi="Times New Roman" w:cs="Times New Roman"/>
                <w:color w:val="auto"/>
                <w:sz w:val="24"/>
              </w:rPr>
              <w:t>减少工艺过程物流，缩短</w:t>
            </w:r>
            <w:r>
              <w:rPr>
                <w:rFonts w:hint="default" w:ascii="Times New Roman" w:hAnsi="Times New Roman" w:cs="Times New Roman"/>
                <w:color w:val="auto"/>
                <w:sz w:val="24"/>
                <w:lang w:val="en-US" w:eastAsia="zh-CN"/>
              </w:rPr>
              <w:t>厂内</w:t>
            </w:r>
            <w:r>
              <w:rPr>
                <w:rFonts w:hint="default" w:ascii="Times New Roman" w:hAnsi="Times New Roman" w:cs="Times New Roman"/>
                <w:color w:val="auto"/>
                <w:sz w:val="24"/>
              </w:rPr>
              <w:t>运输距离</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适应产品流转要求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项目初期雨水收集池及事故池位于厂区最低处，有利于初期雨水收集。项目总平布置满足工艺生产流程要求，符合运输、消防、卫生、施工等规范或规定，全面地将所有生产装置、建构筑物、运输道路、管线等进行合理布置。</w:t>
            </w:r>
            <w:r>
              <w:rPr>
                <w:rFonts w:hint="eastAsia" w:cs="Times New Roman"/>
                <w:color w:val="auto"/>
                <w:sz w:val="24"/>
                <w:highlight w:val="none"/>
                <w:lang w:val="en-US" w:eastAsia="zh-CN"/>
              </w:rPr>
              <w:t>现有工程初期雨水池、应急池、危废暂存间、化粪池位置</w:t>
            </w:r>
            <w:r>
              <w:rPr>
                <w:rFonts w:hint="default" w:ascii="Times New Roman" w:hAnsi="Times New Roman" w:cs="Times New Roman"/>
                <w:color w:val="auto"/>
                <w:sz w:val="24"/>
                <w:highlight w:val="none"/>
              </w:rPr>
              <w:t>见总平面布置</w:t>
            </w:r>
            <w:r>
              <w:rPr>
                <w:rFonts w:hint="eastAsia" w:cs="Times New Roman"/>
                <w:color w:val="auto"/>
                <w:sz w:val="24"/>
                <w:highlight w:val="none"/>
                <w:lang w:val="en-US" w:eastAsia="zh-CN"/>
              </w:rPr>
              <w:t>见</w:t>
            </w:r>
            <w:r>
              <w:rPr>
                <w:rFonts w:hint="eastAsia" w:cs="Times New Roman"/>
                <w:color w:val="auto"/>
                <w:spacing w:val="4"/>
                <w:kern w:val="0"/>
                <w:sz w:val="24"/>
                <w:highlight w:val="none"/>
                <w:lang w:val="en-US" w:eastAsia="zh-CN"/>
              </w:rPr>
              <w:t>图2.1-2</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技改项目工程总平布置</w:t>
            </w:r>
            <w:r>
              <w:rPr>
                <w:rFonts w:hint="eastAsia" w:cs="Times New Roman"/>
                <w:color w:val="auto"/>
                <w:sz w:val="24"/>
                <w:highlight w:val="none"/>
                <w:lang w:val="en-US" w:eastAsia="zh-CN"/>
              </w:rPr>
              <w:t>见</w:t>
            </w:r>
            <w:r>
              <w:rPr>
                <w:rFonts w:hint="eastAsia" w:cs="Times New Roman"/>
                <w:color w:val="auto"/>
                <w:spacing w:val="4"/>
                <w:kern w:val="0"/>
                <w:sz w:val="24"/>
                <w:highlight w:val="none"/>
                <w:lang w:val="en-US" w:eastAsia="zh-CN"/>
              </w:rPr>
              <w:t>图2.1-3</w:t>
            </w:r>
            <w:r>
              <w:rPr>
                <w:rFonts w:hint="eastAsia" w:cs="Times New Roman"/>
                <w:color w:val="auto"/>
                <w:sz w:val="24"/>
                <w:highlight w:val="none"/>
                <w:lang w:val="en-US" w:eastAsia="zh-CN"/>
              </w:rPr>
              <w:t>。</w:t>
            </w:r>
          </w:p>
          <w:p>
            <w:pPr>
              <w:pStyle w:val="98"/>
              <w:keepNext/>
              <w:keepLines/>
              <w:pageBreakBefore w:val="0"/>
              <w:widowControl w:val="0"/>
              <w:kinsoku/>
              <w:wordWrap/>
              <w:overflowPunct/>
              <w:topLinePunct w:val="0"/>
              <w:autoSpaceDE/>
              <w:autoSpaceDN/>
              <w:bidi w:val="0"/>
              <w:adjustRightInd w:val="0"/>
              <w:snapToGrid w:val="0"/>
              <w:spacing w:before="219" w:beforeLines="70" w:after="219" w:afterLines="70" w:line="240" w:lineRule="auto"/>
              <w:ind w:firstLine="0" w:firstLineChars="0"/>
              <w:textAlignment w:val="auto"/>
              <w:rPr>
                <w:rFonts w:hint="default" w:ascii="Times New Roman" w:hAnsi="Times New Roman" w:eastAsia="宋体" w:cs="Times New Roman"/>
                <w:b/>
                <w:bCs/>
                <w:color w:val="auto"/>
                <w:kern w:val="2"/>
                <w:sz w:val="28"/>
                <w:szCs w:val="28"/>
                <w:highlight w:val="none"/>
                <w:lang w:val="en-US" w:eastAsia="zh-CN" w:bidi="ar-SA"/>
              </w:rPr>
            </w:pPr>
            <w:bookmarkStart w:id="43" w:name="_Toc9151"/>
            <w:bookmarkStart w:id="44" w:name="_Toc28258"/>
            <w:r>
              <w:rPr>
                <w:rFonts w:hint="default" w:ascii="Times New Roman" w:hAnsi="Times New Roman" w:eastAsia="宋体" w:cs="Times New Roman"/>
                <w:b/>
                <w:bCs/>
                <w:color w:val="auto"/>
                <w:kern w:val="2"/>
                <w:sz w:val="28"/>
                <w:szCs w:val="28"/>
                <w:highlight w:val="none"/>
                <w:lang w:val="en-US" w:eastAsia="zh-CN" w:bidi="ar-SA"/>
              </w:rPr>
              <w:t>2.</w:t>
            </w:r>
            <w:r>
              <w:rPr>
                <w:rFonts w:hint="eastAsia" w:ascii="Times New Roman" w:hAnsi="Times New Roman" w:eastAsia="宋体" w:cs="Times New Roman"/>
                <w:b/>
                <w:bCs/>
                <w:color w:val="auto"/>
                <w:kern w:val="2"/>
                <w:sz w:val="28"/>
                <w:szCs w:val="28"/>
                <w:highlight w:val="none"/>
                <w:lang w:val="en-US" w:eastAsia="zh-CN" w:bidi="ar-SA"/>
              </w:rPr>
              <w:t>1</w:t>
            </w:r>
            <w:r>
              <w:rPr>
                <w:rFonts w:hint="default" w:ascii="Times New Roman" w:hAnsi="Times New Roman" w:eastAsia="宋体" w:cs="Times New Roman"/>
                <w:b/>
                <w:bCs/>
                <w:color w:val="auto"/>
                <w:kern w:val="2"/>
                <w:sz w:val="28"/>
                <w:szCs w:val="28"/>
                <w:highlight w:val="none"/>
                <w:lang w:val="en-US" w:eastAsia="zh-CN" w:bidi="ar-SA"/>
              </w:rPr>
              <w:t>.1</w:t>
            </w:r>
            <w:r>
              <w:rPr>
                <w:rFonts w:hint="eastAsia" w:eastAsia="宋体" w:cs="Times New Roman"/>
                <w:b/>
                <w:bCs/>
                <w:color w:val="auto"/>
                <w:kern w:val="2"/>
                <w:sz w:val="28"/>
                <w:szCs w:val="28"/>
                <w:highlight w:val="none"/>
                <w:lang w:val="en-US" w:eastAsia="zh-CN" w:bidi="ar-SA"/>
              </w:rPr>
              <w:t>2</w:t>
            </w:r>
            <w:r>
              <w:rPr>
                <w:rFonts w:hint="eastAsia" w:ascii="Times New Roman" w:hAnsi="Times New Roman" w:eastAsia="宋体" w:cs="Times New Roman"/>
                <w:b/>
                <w:bCs/>
                <w:color w:val="auto"/>
                <w:kern w:val="2"/>
                <w:sz w:val="28"/>
                <w:szCs w:val="28"/>
                <w:highlight w:val="none"/>
                <w:lang w:val="en-US" w:eastAsia="zh-CN" w:bidi="ar-SA"/>
              </w:rPr>
              <w:t xml:space="preserve"> 技改</w:t>
            </w:r>
            <w:r>
              <w:rPr>
                <w:rFonts w:hint="default" w:ascii="Times New Roman" w:hAnsi="Times New Roman" w:eastAsia="宋体" w:cs="Times New Roman"/>
                <w:b/>
                <w:bCs/>
                <w:color w:val="auto"/>
                <w:kern w:val="2"/>
                <w:sz w:val="28"/>
                <w:szCs w:val="28"/>
                <w:highlight w:val="none"/>
                <w:lang w:val="en-US" w:eastAsia="zh-CN" w:bidi="ar-SA"/>
              </w:rPr>
              <w:t>项目与现有工程的依托关系</w:t>
            </w:r>
            <w:bookmarkEnd w:id="43"/>
            <w:bookmarkEnd w:id="44"/>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0000FF"/>
                <w:sz w:val="24"/>
                <w:highlight w:val="none"/>
                <w:lang w:val="en-US" w:eastAsia="zh-CN"/>
              </w:rPr>
            </w:pPr>
            <w:r>
              <w:rPr>
                <w:rFonts w:hint="eastAsia" w:cs="Times New Roman"/>
                <w:color w:val="auto"/>
                <w:sz w:val="24"/>
                <w:lang w:val="en-US" w:eastAsia="zh-CN"/>
              </w:rPr>
              <w:t>技建</w:t>
            </w:r>
            <w:r>
              <w:rPr>
                <w:rFonts w:hint="default" w:ascii="Times New Roman" w:hAnsi="Times New Roman" w:cs="Times New Roman"/>
                <w:color w:val="auto"/>
                <w:sz w:val="24"/>
                <w:lang w:eastAsia="zh-CN"/>
              </w:rPr>
              <w:t>项目</w:t>
            </w:r>
            <w:r>
              <w:rPr>
                <w:rFonts w:hint="default" w:ascii="Times New Roman" w:hAnsi="Times New Roman" w:eastAsia="宋体" w:cs="Times New Roman"/>
                <w:color w:val="auto"/>
                <w:sz w:val="24"/>
                <w:highlight w:val="none"/>
                <w:lang w:val="en-US" w:eastAsia="zh-CN"/>
              </w:rPr>
              <w:t>建设</w:t>
            </w:r>
            <w:r>
              <w:rPr>
                <w:rFonts w:hint="eastAsia" w:cs="Times New Roman"/>
                <w:color w:val="auto"/>
                <w:sz w:val="24"/>
                <w:szCs w:val="24"/>
                <w:lang w:val="en-US" w:eastAsia="zh-CN"/>
              </w:rPr>
              <w:t>钢渣综合利用</w:t>
            </w:r>
            <w:r>
              <w:rPr>
                <w:rFonts w:hint="default" w:ascii="Times New Roman" w:hAnsi="Times New Roman" w:cs="Times New Roman"/>
                <w:color w:val="auto"/>
                <w:sz w:val="24"/>
                <w:szCs w:val="24"/>
                <w:lang w:val="en-US" w:eastAsia="zh-CN"/>
              </w:rPr>
              <w:t>项目</w:t>
            </w:r>
            <w:r>
              <w:rPr>
                <w:rFonts w:hint="eastAsia" w:ascii="Times New Roman" w:hAnsi="Times New Roman" w:eastAsia="宋体" w:cs="Times New Roman"/>
                <w:color w:val="auto"/>
                <w:sz w:val="24"/>
                <w:highlight w:val="none"/>
                <w:lang w:val="en-US" w:eastAsia="zh-CN"/>
              </w:rPr>
              <w:t>，生产路基垫层138t/a和钢渣细粉12t/a</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highlight w:val="none"/>
                <w:lang w:val="en-US" w:eastAsia="zh-CN"/>
              </w:rPr>
              <w:t>生产车间、办公及生活设施、辅助及公用工程、储运工程、废水处理措施、固体废物处理措施依托现有工程。依托工程的可行性分析</w:t>
            </w:r>
            <w:r>
              <w:rPr>
                <w:rFonts w:hint="eastAsia" w:cs="Times New Roman"/>
                <w:color w:val="auto"/>
                <w:sz w:val="24"/>
                <w:highlight w:val="none"/>
                <w:lang w:val="en-US" w:eastAsia="zh-CN"/>
              </w:rPr>
              <w:t>见</w:t>
            </w:r>
            <w:r>
              <w:rPr>
                <w:rFonts w:hint="default" w:ascii="Times New Roman" w:hAnsi="Times New Roman" w:cs="Times New Roman"/>
                <w:color w:val="auto"/>
                <w:sz w:val="24"/>
                <w:highlight w:val="none"/>
                <w:lang w:val="en-US" w:eastAsia="zh-CN"/>
              </w:rPr>
              <w:t>表2.</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8</w:t>
            </w:r>
            <w:r>
              <w:rPr>
                <w:rFonts w:hint="default" w:ascii="Times New Roman" w:hAnsi="Times New Roman" w:cs="Times New Roman"/>
                <w:color w:val="auto"/>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 xml:space="preserve">  依托工程的可行性分析一览表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46"/>
              <w:gridCol w:w="1138"/>
              <w:gridCol w:w="1045"/>
              <w:gridCol w:w="4766"/>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blHeader/>
                <w:jc w:val="center"/>
              </w:trPr>
              <w:tc>
                <w:tcPr>
                  <w:tcW w:w="43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依托设施</w:t>
                  </w:r>
                </w:p>
              </w:tc>
              <w:tc>
                <w:tcPr>
                  <w:tcW w:w="3376" w:type="pct"/>
                  <w:gridSpan w:val="2"/>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建设内容</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6" w:hRule="atLeast"/>
                <w:jc w:val="center"/>
              </w:trPr>
              <w:tc>
                <w:tcPr>
                  <w:tcW w:w="434"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FF"/>
                      <w:sz w:val="21"/>
                      <w:szCs w:val="21"/>
                    </w:rPr>
                  </w:pPr>
                  <w:r>
                    <w:rPr>
                      <w:rFonts w:hint="default" w:ascii="Times New Roman" w:hAnsi="Times New Roman" w:cs="Times New Roman"/>
                      <w:color w:val="auto"/>
                      <w:sz w:val="21"/>
                      <w:szCs w:val="21"/>
                    </w:rPr>
                    <w:t>辅助及公用工程</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给水系统</w:t>
                  </w:r>
                </w:p>
              </w:tc>
              <w:tc>
                <w:tcPr>
                  <w:tcW w:w="3376" w:type="pct"/>
                  <w:gridSpan w:val="2"/>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项目在矿渣堆棚内，厂</w:t>
                  </w:r>
                  <w:r>
                    <w:rPr>
                      <w:rFonts w:hint="default" w:ascii="Times New Roman" w:hAnsi="Times New Roman" w:eastAsia="宋体" w:cs="Times New Roman"/>
                      <w:color w:val="auto"/>
                      <w:sz w:val="21"/>
                      <w:szCs w:val="21"/>
                      <w:lang w:val="en-US" w:eastAsia="zh-CN"/>
                    </w:rPr>
                    <w:t>区已建</w:t>
                  </w:r>
                  <w:r>
                    <w:rPr>
                      <w:rFonts w:hint="default" w:ascii="Times New Roman" w:hAnsi="Times New Roman" w:cs="Times New Roman"/>
                      <w:color w:val="auto"/>
                      <w:sz w:val="21"/>
                      <w:szCs w:val="21"/>
                    </w:rPr>
                    <w:t>给水</w:t>
                  </w:r>
                  <w:r>
                    <w:rPr>
                      <w:rFonts w:hint="default" w:ascii="Times New Roman" w:hAnsi="Times New Roman" w:cs="Times New Roman"/>
                      <w:color w:val="auto"/>
                      <w:sz w:val="21"/>
                      <w:szCs w:val="21"/>
                      <w:lang w:val="en-US" w:eastAsia="zh-CN"/>
                    </w:rPr>
                    <w:t>管网，用水引自</w:t>
                  </w:r>
                  <w:r>
                    <w:rPr>
                      <w:rFonts w:hint="default" w:ascii="Times New Roman" w:hAnsi="Times New Roman" w:eastAsia="宋体" w:cs="Times New Roman"/>
                      <w:color w:val="auto"/>
                      <w:sz w:val="21"/>
                      <w:szCs w:val="21"/>
                      <w:lang w:val="en-US" w:eastAsia="zh-CN"/>
                    </w:rPr>
                    <w:t>厂区外城镇管网</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val="en-US" w:eastAsia="zh-CN"/>
                    </w:rPr>
                    <w:t>生产及生活用水由厂外给水管网接入厂区。</w:t>
                  </w:r>
                  <w:r>
                    <w:rPr>
                      <w:rFonts w:hint="default" w:ascii="Times New Roman" w:hAnsi="Times New Roman" w:cs="Times New Roman"/>
                      <w:color w:val="auto"/>
                      <w:sz w:val="21"/>
                      <w:szCs w:val="21"/>
                      <w:highlight w:val="none"/>
                      <w:lang w:val="en-US" w:eastAsia="zh-CN"/>
                    </w:rPr>
                    <w:t>可以满足本项目用水需求。</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6" w:hRule="atLeast"/>
                <w:jc w:val="center"/>
              </w:trPr>
              <w:tc>
                <w:tcPr>
                  <w:tcW w:w="43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FF"/>
                      <w:sz w:val="21"/>
                      <w:szCs w:val="21"/>
                    </w:rPr>
                  </w:pP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雨污管网</w:t>
                  </w:r>
                </w:p>
              </w:tc>
              <w:tc>
                <w:tcPr>
                  <w:tcW w:w="3376" w:type="pct"/>
                  <w:gridSpan w:val="2"/>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排水采用雨污分流的形式，</w:t>
                  </w:r>
                  <w:r>
                    <w:rPr>
                      <w:rFonts w:hint="default" w:ascii="Times New Roman" w:hAnsi="Times New Roman" w:cs="Times New Roman"/>
                      <w:color w:val="auto"/>
                      <w:sz w:val="21"/>
                      <w:szCs w:val="21"/>
                      <w:lang w:val="en-US" w:eastAsia="zh-CN"/>
                    </w:rPr>
                    <w:t>已建雨污水管网</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本项目没有生产废水排放，初期雨水包含在现有初期雨水内。员工在厂内调配无增减，故厂区现有雨污水管网可以满足本项目需求。</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3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z w:val="21"/>
                      <w:szCs w:val="21"/>
                      <w:lang w:eastAsia="zh-CN"/>
                    </w:rPr>
                  </w:pPr>
                  <w:r>
                    <w:rPr>
                      <w:rFonts w:hint="default" w:ascii="Times New Roman" w:hAnsi="Times New Roman" w:cs="Times New Roman"/>
                      <w:color w:val="0000FF"/>
                      <w:sz w:val="21"/>
                      <w:szCs w:val="21"/>
                      <w:lang w:eastAsia="zh-CN"/>
                    </w:rPr>
                    <w:t xml:space="preserve"> </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3376" w:type="pct"/>
                  <w:gridSpan w:val="2"/>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依托厂区</w:t>
                  </w:r>
                  <w:r>
                    <w:rPr>
                      <w:rFonts w:hint="eastAsia" w:cs="Times New Roman"/>
                      <w:color w:val="auto"/>
                      <w:sz w:val="21"/>
                      <w:szCs w:val="21"/>
                      <w:lang w:val="en-US" w:eastAsia="zh-CN"/>
                    </w:rPr>
                    <w:t>现有</w:t>
                  </w:r>
                  <w:r>
                    <w:rPr>
                      <w:rFonts w:hint="default" w:ascii="Times New Roman" w:hAnsi="Times New Roman" w:eastAsia="宋体" w:cs="Times New Roman"/>
                      <w:color w:val="auto"/>
                      <w:sz w:val="21"/>
                      <w:szCs w:val="21"/>
                      <w:lang w:val="en-US" w:eastAsia="zh-CN"/>
                    </w:rPr>
                    <w:t>供电设施，</w:t>
                  </w:r>
                  <w:r>
                    <w:rPr>
                      <w:rFonts w:hint="default" w:ascii="Times New Roman" w:hAnsi="Times New Roman" w:cs="Times New Roman"/>
                      <w:color w:val="auto"/>
                      <w:sz w:val="21"/>
                      <w:szCs w:val="21"/>
                    </w:rPr>
                    <w:t>用电</w:t>
                  </w:r>
                  <w:r>
                    <w:rPr>
                      <w:rFonts w:hint="default" w:ascii="Times New Roman" w:hAnsi="Times New Roman" w:cs="Times New Roman"/>
                      <w:color w:val="auto"/>
                      <w:sz w:val="21"/>
                      <w:szCs w:val="21"/>
                      <w:lang w:val="en-US" w:eastAsia="zh-CN"/>
                    </w:rPr>
                    <w:t>从鼎信科技引入电源</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highlight w:val="none"/>
                      <w:lang w:val="en-US" w:eastAsia="zh-CN"/>
                    </w:rPr>
                    <w:t>可以满足本项目用电需求。</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87" w:hRule="atLeast"/>
                <w:jc w:val="center"/>
              </w:trPr>
              <w:tc>
                <w:tcPr>
                  <w:tcW w:w="43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生活设施</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办公及生活设施</w:t>
                  </w:r>
                </w:p>
              </w:tc>
              <w:tc>
                <w:tcPr>
                  <w:tcW w:w="3376" w:type="pct"/>
                  <w:gridSpan w:val="2"/>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r>
                    <w:rPr>
                      <w:rFonts w:hint="eastAsia" w:cs="Times New Roman"/>
                      <w:color w:val="auto"/>
                      <w:sz w:val="21"/>
                      <w:szCs w:val="21"/>
                      <w:lang w:val="en-US" w:eastAsia="zh-CN"/>
                    </w:rPr>
                    <w:t>现有</w:t>
                  </w:r>
                  <w:r>
                    <w:rPr>
                      <w:rFonts w:hint="default" w:ascii="Times New Roman" w:hAnsi="Times New Roman" w:cs="Times New Roman"/>
                      <w:color w:val="auto"/>
                      <w:sz w:val="21"/>
                      <w:szCs w:val="21"/>
                    </w:rPr>
                    <w:t>办公及生活设施</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本项目员工在厂内调配无增减，故现有办公生活设施可以满足本项目需求。</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6" w:hRule="atLeast"/>
                <w:jc w:val="center"/>
              </w:trPr>
              <w:tc>
                <w:tcPr>
                  <w:tcW w:w="434"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原料堆棚</w:t>
                  </w:r>
                </w:p>
              </w:tc>
              <w:tc>
                <w:tcPr>
                  <w:tcW w:w="3376" w:type="pct"/>
                  <w:gridSpan w:val="2"/>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bidi w:val="0"/>
                    <w:jc w:val="left"/>
                    <w:textAlignment w:val="auto"/>
                    <w:outlineLvl w:val="9"/>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现有工程</w:t>
                  </w:r>
                  <w:r>
                    <w:rPr>
                      <w:rFonts w:hint="eastAsia" w:ascii="宋体" w:hAnsi="宋体" w:eastAsia="宋体" w:cs="宋体"/>
                      <w:color w:val="auto"/>
                      <w:kern w:val="0"/>
                      <w:sz w:val="21"/>
                      <w:szCs w:val="21"/>
                      <w:lang w:val="en-US" w:eastAsia="zh-CN" w:bidi="ar"/>
                    </w:rPr>
                    <w:t>原料渣堆棚长</w:t>
                  </w:r>
                  <w:r>
                    <w:rPr>
                      <w:rFonts w:hint="default" w:ascii="Times New Roman" w:hAnsi="Times New Roman" w:eastAsia="宋体" w:cs="Times New Roman"/>
                      <w:color w:val="auto"/>
                      <w:kern w:val="0"/>
                      <w:sz w:val="21"/>
                      <w:szCs w:val="21"/>
                      <w:lang w:val="en-US" w:eastAsia="zh-CN" w:bidi="ar"/>
                    </w:rPr>
                    <w:t>216m</w:t>
                  </w:r>
                  <w:r>
                    <w:rPr>
                      <w:rFonts w:hint="eastAsia" w:ascii="宋体" w:hAnsi="宋体" w:eastAsia="宋体" w:cs="宋体"/>
                      <w:color w:val="auto"/>
                      <w:kern w:val="0"/>
                      <w:sz w:val="21"/>
                      <w:szCs w:val="21"/>
                      <w:lang w:val="en-US" w:eastAsia="zh-CN" w:bidi="ar"/>
                    </w:rPr>
                    <w:t>、宽</w:t>
                  </w:r>
                  <w:r>
                    <w:rPr>
                      <w:rFonts w:hint="default" w:ascii="Times New Roman" w:hAnsi="Times New Roman" w:eastAsia="宋体" w:cs="Times New Roman"/>
                      <w:color w:val="auto"/>
                      <w:kern w:val="0"/>
                      <w:sz w:val="21"/>
                      <w:szCs w:val="21"/>
                      <w:lang w:val="en-US" w:eastAsia="zh-CN" w:bidi="ar"/>
                    </w:rPr>
                    <w:t>123m</w:t>
                  </w:r>
                  <w:r>
                    <w:rPr>
                      <w:rFonts w:hint="eastAsia" w:ascii="宋体" w:hAnsi="宋体" w:eastAsia="宋体" w:cs="宋体"/>
                      <w:color w:val="auto"/>
                      <w:kern w:val="0"/>
                      <w:sz w:val="21"/>
                      <w:szCs w:val="21"/>
                      <w:lang w:val="en-US" w:eastAsia="zh-CN" w:bidi="ar"/>
                    </w:rPr>
                    <w:t>，轴线面积</w:t>
                  </w:r>
                  <w:r>
                    <w:rPr>
                      <w:rFonts w:hint="default" w:ascii="Times New Roman" w:hAnsi="Times New Roman" w:eastAsia="宋体" w:cs="Times New Roman"/>
                      <w:color w:val="auto"/>
                      <w:kern w:val="0"/>
                      <w:sz w:val="21"/>
                      <w:szCs w:val="21"/>
                      <w:lang w:val="en-US" w:eastAsia="zh-CN" w:bidi="ar"/>
                    </w:rPr>
                    <w:t>26568m</w:t>
                  </w:r>
                  <w:r>
                    <w:rPr>
                      <w:rFonts w:hint="default"/>
                      <w:color w:val="auto"/>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现有</w:t>
                  </w:r>
                  <w:r>
                    <w:rPr>
                      <w:rFonts w:hint="default" w:ascii="Times New Roman" w:hAnsi="Times New Roman" w:eastAsia="宋体" w:cs="Times New Roman"/>
                      <w:color w:val="auto"/>
                      <w:sz w:val="21"/>
                      <w:szCs w:val="21"/>
                      <w:lang w:val="en-US" w:eastAsia="zh-CN"/>
                    </w:rPr>
                    <w:t>工程</w:t>
                  </w:r>
                  <w:r>
                    <w:rPr>
                      <w:rFonts w:hint="eastAsia" w:cs="Times New Roman"/>
                      <w:color w:val="auto"/>
                      <w:sz w:val="21"/>
                      <w:szCs w:val="21"/>
                      <w:lang w:val="en-US" w:eastAsia="zh-CN"/>
                    </w:rPr>
                    <w:t>原料堆棚</w:t>
                  </w:r>
                  <w:r>
                    <w:rPr>
                      <w:rFonts w:hint="default" w:ascii="Times New Roman" w:hAnsi="Times New Roman" w:eastAsia="宋体" w:cs="Times New Roman"/>
                      <w:color w:val="auto"/>
                      <w:sz w:val="21"/>
                      <w:szCs w:val="21"/>
                      <w:lang w:val="en-US" w:eastAsia="zh-CN"/>
                    </w:rPr>
                    <w:t>可满足本项目生产储存需求。</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5" w:hRule="atLeast"/>
                <w:jc w:val="center"/>
              </w:trPr>
              <w:tc>
                <w:tcPr>
                  <w:tcW w:w="434"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w:t>
                  </w:r>
                </w:p>
              </w:tc>
              <w:tc>
                <w:tcPr>
                  <w:tcW w:w="661"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废水处理措施</w:t>
                  </w:r>
                </w:p>
              </w:tc>
              <w:tc>
                <w:tcPr>
                  <w:tcW w:w="60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生活污水</w:t>
                  </w:r>
                </w:p>
              </w:tc>
              <w:tc>
                <w:tcPr>
                  <w:tcW w:w="276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本项目员工在厂内调配无增减，</w:t>
                  </w:r>
                  <w:r>
                    <w:rPr>
                      <w:rFonts w:hint="default" w:ascii="Times New Roman" w:hAnsi="Times New Roman" w:cs="Times New Roman"/>
                      <w:color w:val="auto"/>
                      <w:sz w:val="21"/>
                      <w:szCs w:val="21"/>
                      <w:highlight w:val="none"/>
                      <w:lang w:eastAsia="zh-CN"/>
                    </w:rPr>
                    <w:t>办公生活污水经化粪池处理以后排放</w:t>
                  </w:r>
                  <w:r>
                    <w:rPr>
                      <w:rFonts w:hint="eastAsia" w:cs="Times New Roman"/>
                      <w:i w:val="0"/>
                      <w:color w:val="auto"/>
                      <w:kern w:val="0"/>
                      <w:sz w:val="21"/>
                      <w:szCs w:val="21"/>
                      <w:u w:val="none"/>
                      <w:lang w:val="en-US" w:eastAsia="zh-CN" w:bidi="ar"/>
                    </w:rPr>
                    <w:t>湾坞西污水处理厂统一处理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现有工程生活污水处理设施</w:t>
                  </w:r>
                  <w:r>
                    <w:rPr>
                      <w:rFonts w:hint="default" w:ascii="Times New Roman" w:hAnsi="Times New Roman" w:eastAsia="宋体" w:cs="Times New Roman"/>
                      <w:color w:val="auto"/>
                      <w:sz w:val="21"/>
                      <w:szCs w:val="21"/>
                      <w:lang w:val="en-US" w:eastAsia="zh-CN"/>
                    </w:rPr>
                    <w:t>可满足本项目需求。</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53" w:hRule="atLeast"/>
                <w:jc w:val="center"/>
              </w:trPr>
              <w:tc>
                <w:tcPr>
                  <w:tcW w:w="43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p>
              </w:tc>
              <w:tc>
                <w:tcPr>
                  <w:tcW w:w="661" w:type="pct"/>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固废处置</w:t>
                  </w:r>
                </w:p>
              </w:tc>
              <w:tc>
                <w:tcPr>
                  <w:tcW w:w="60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eastAsia="zh-CN"/>
                    </w:rPr>
                    <w:t>危险废物</w:t>
                  </w:r>
                </w:p>
              </w:tc>
              <w:tc>
                <w:tcPr>
                  <w:tcW w:w="276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val="en-US" w:eastAsia="zh-CN"/>
                    </w:rPr>
                    <w:t>依托厂区</w:t>
                  </w:r>
                  <w:r>
                    <w:rPr>
                      <w:rFonts w:hint="eastAsia" w:cs="Times New Roman"/>
                      <w:color w:val="auto"/>
                      <w:sz w:val="21"/>
                      <w:szCs w:val="21"/>
                      <w:lang w:val="en-US" w:eastAsia="zh-CN"/>
                    </w:rPr>
                    <w:t>现有</w:t>
                  </w:r>
                  <w:r>
                    <w:rPr>
                      <w:rFonts w:hint="default" w:ascii="Times New Roman" w:hAnsi="Times New Roman" w:eastAsia="宋体" w:cs="Times New Roman"/>
                      <w:color w:val="auto"/>
                      <w:sz w:val="21"/>
                      <w:szCs w:val="21"/>
                      <w:lang w:eastAsia="zh-CN"/>
                    </w:rPr>
                    <w:t>危险废物临时贮存间</w:t>
                  </w:r>
                  <w:r>
                    <w:rPr>
                      <w:rFonts w:hint="default" w:ascii="Times New Roman" w:hAnsi="Times New Roman" w:eastAsia="宋体" w:cs="Times New Roman"/>
                      <w:color w:val="auto"/>
                      <w:sz w:val="21"/>
                      <w:szCs w:val="21"/>
                      <w:lang w:val="en-US" w:eastAsia="zh-CN"/>
                    </w:rPr>
                    <w:t>暂存，贮存量</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吨，面积</w:t>
                  </w:r>
                  <w:r>
                    <w:rPr>
                      <w:rFonts w:hint="eastAsia" w:cs="Times New Roman"/>
                      <w:color w:val="auto"/>
                      <w:sz w:val="21"/>
                      <w:szCs w:val="21"/>
                      <w:lang w:val="en-US" w:eastAsia="zh-CN"/>
                    </w:rPr>
                    <w:t>24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现有工程0.5t/a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本项目危险废物产生量较少，现有危废暂存间可满足本项目储存需求。</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auto"/>
                      <w:sz w:val="21"/>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6" w:hRule="atLeast"/>
                <w:jc w:val="center"/>
              </w:trPr>
              <w:tc>
                <w:tcPr>
                  <w:tcW w:w="434"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FF"/>
                      <w:sz w:val="21"/>
                      <w:szCs w:val="21"/>
                    </w:rPr>
                  </w:pPr>
                </w:p>
              </w:tc>
              <w:tc>
                <w:tcPr>
                  <w:tcW w:w="661" w:type="pct"/>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0000FF"/>
                      <w:sz w:val="21"/>
                      <w:szCs w:val="21"/>
                    </w:rPr>
                  </w:pPr>
                </w:p>
              </w:tc>
              <w:tc>
                <w:tcPr>
                  <w:tcW w:w="607"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276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依托厂区生活垃圾收集设施，</w:t>
                  </w:r>
                  <w:r>
                    <w:rPr>
                      <w:rFonts w:hint="default" w:ascii="Times New Roman" w:hAnsi="Times New Roman" w:eastAsia="宋体" w:cs="Times New Roman"/>
                      <w:color w:val="auto"/>
                      <w:sz w:val="21"/>
                      <w:szCs w:val="21"/>
                      <w:lang w:eastAsia="zh-CN"/>
                    </w:rPr>
                    <w:t>由园区环卫部门清运和处置</w:t>
                  </w:r>
                </w:p>
              </w:tc>
              <w:tc>
                <w:tcPr>
                  <w:tcW w:w="528" w:type="pc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可行</w:t>
                  </w:r>
                </w:p>
              </w:tc>
            </w:tr>
          </w:tbl>
          <w:p>
            <w:pPr>
              <w:pStyle w:val="11"/>
              <w:rPr>
                <w:rFonts w:hint="default"/>
              </w:rPr>
            </w:pPr>
          </w:p>
        </w:tc>
      </w:tr>
    </w:tbl>
    <w:p>
      <w:pPr>
        <w:snapToGrid w:val="0"/>
        <w:spacing w:before="72" w:beforeLines="30" w:after="72" w:afterLines="30" w:line="240" w:lineRule="auto"/>
        <w:jc w:val="both"/>
        <w:outlineLvl w:val="0"/>
        <w:rPr>
          <w:rFonts w:hint="eastAsia" w:eastAsia="宋体"/>
          <w:lang w:eastAsia="zh-CN"/>
        </w:rPr>
        <w:sectPr>
          <w:pgSz w:w="11907" w:h="16840"/>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bookmarkStart w:id="45" w:name="_Toc15009"/>
      <w:bookmarkStart w:id="46" w:name="_Toc8516"/>
      <w:bookmarkStart w:id="47" w:name="_Toc28660"/>
      <w:bookmarkStart w:id="48" w:name="_Toc24381"/>
    </w:p>
    <w:p>
      <w:pPr>
        <w:snapToGrid w:val="0"/>
        <w:spacing w:before="72" w:beforeLines="30" w:after="72" w:afterLines="30" w:line="240" w:lineRule="auto"/>
        <w:jc w:val="both"/>
        <w:outlineLvl w:val="0"/>
        <w:rPr>
          <w:rFonts w:hint="default" w:ascii="Times New Roman" w:hAnsi="Times New Roman" w:eastAsia="宋体" w:cs="Times New Roman"/>
          <w:b/>
          <w:bCs/>
          <w:color w:val="auto"/>
          <w:sz w:val="21"/>
          <w:szCs w:val="21"/>
          <w:highlight w:val="none"/>
          <w:lang w:val="en-US" w:eastAsia="zh-CN"/>
        </w:rPr>
      </w:pPr>
      <w:bookmarkStart w:id="288" w:name="_GoBack"/>
      <w:r>
        <w:rPr>
          <w:rFonts w:hint="eastAsia" w:eastAsia="宋体"/>
          <w:lang w:eastAsia="zh-CN"/>
        </w:rPr>
        <w:drawing>
          <wp:inline distT="0" distB="0" distL="114300" distR="114300">
            <wp:extent cx="8524875" cy="4930775"/>
            <wp:effectExtent l="0" t="0" r="9525" b="3175"/>
            <wp:docPr id="94" name="图片 94" descr="池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池子"/>
                    <pic:cNvPicPr>
                      <a:picLocks noChangeAspect="1"/>
                    </pic:cNvPicPr>
                  </pic:nvPicPr>
                  <pic:blipFill>
                    <a:blip r:embed="rId12"/>
                    <a:srcRect r="12938" b="15535"/>
                    <a:stretch>
                      <a:fillRect/>
                    </a:stretch>
                  </pic:blipFill>
                  <pic:spPr>
                    <a:xfrm>
                      <a:off x="0" y="0"/>
                      <a:ext cx="8524875" cy="4930775"/>
                    </a:xfrm>
                    <a:prstGeom prst="rect">
                      <a:avLst/>
                    </a:prstGeom>
                  </pic:spPr>
                </pic:pic>
              </a:graphicData>
            </a:graphic>
          </wp:inline>
        </w:drawing>
      </w:r>
      <w:bookmarkEnd w:id="288"/>
    </w:p>
    <w:p>
      <w:pPr>
        <w:keepNext w:val="0"/>
        <w:keepLines w:val="0"/>
        <w:pageBreakBefore w:val="0"/>
        <w:widowControl w:val="0"/>
        <w:kinsoku/>
        <w:wordWrap/>
        <w:overflowPunct/>
        <w:topLinePunct w:val="0"/>
        <w:autoSpaceDE/>
        <w:autoSpaceDN/>
        <w:bidi w:val="0"/>
        <w:adjustRightInd/>
        <w:snapToGrid w:val="0"/>
        <w:spacing w:before="72" w:beforeLines="30" w:after="72" w:afterLines="30" w:line="240" w:lineRule="auto"/>
        <w:jc w:val="center"/>
        <w:textAlignment w:val="auto"/>
        <w:outlineLvl w:val="9"/>
        <w:rPr>
          <w:rFonts w:hint="default" w:ascii="Times New Roman" w:hAnsi="Times New Roman" w:eastAsia="宋体" w:cs="Times New Roman"/>
          <w:b/>
          <w:bCs/>
          <w:color w:val="auto"/>
          <w:kern w:val="0"/>
          <w:sz w:val="21"/>
          <w:szCs w:val="21"/>
          <w:highlight w:val="none"/>
          <w:lang w:val="en-US" w:eastAsia="zh-CN" w:bidi="ar-SA"/>
        </w:rPr>
        <w:sectPr>
          <w:pgSz w:w="16840"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r>
        <w:rPr>
          <w:rFonts w:hint="default" w:ascii="Times New Roman" w:hAnsi="Times New Roman" w:eastAsia="宋体" w:cs="Times New Roman"/>
          <w:b/>
          <w:bCs/>
          <w:color w:val="auto"/>
          <w:sz w:val="21"/>
          <w:szCs w:val="21"/>
          <w:highlight w:val="none"/>
          <w:lang w:val="en-US" w:eastAsia="zh-CN"/>
        </w:rPr>
        <w:t>图</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lang w:val="en-US" w:eastAsia="zh-CN" w:bidi="ar-SA"/>
        </w:rPr>
        <w:t>现有工程总平布置及雨污管网图</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20" w:firstLineChars="20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drawing>
          <wp:inline distT="0" distB="0" distL="114300" distR="114300">
            <wp:extent cx="8876030" cy="4992370"/>
            <wp:effectExtent l="0" t="0" r="1270" b="17780"/>
            <wp:docPr id="6" name="图片 6" descr="局部放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局部放大"/>
                    <pic:cNvPicPr>
                      <a:picLocks noChangeAspect="1"/>
                    </pic:cNvPicPr>
                  </pic:nvPicPr>
                  <pic:blipFill>
                    <a:blip r:embed="rId13"/>
                    <a:stretch>
                      <a:fillRect/>
                    </a:stretch>
                  </pic:blipFill>
                  <pic:spPr>
                    <a:xfrm>
                      <a:off x="0" y="0"/>
                      <a:ext cx="8876030" cy="49923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sectPr>
          <w:pgSz w:w="16840"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r>
        <w:rPr>
          <w:rFonts w:hint="default" w:ascii="Times New Roman" w:hAnsi="Times New Roman" w:eastAsia="宋体" w:cs="Times New Roman"/>
          <w:b/>
          <w:bCs/>
          <w:color w:val="auto"/>
          <w:sz w:val="21"/>
          <w:szCs w:val="21"/>
          <w:highlight w:val="none"/>
          <w:lang w:val="en-US" w:eastAsia="zh-CN"/>
        </w:rPr>
        <w:t>图</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技改项目工程总平布置图</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4" w:hRule="atLeast"/>
          <w:jc w:val="center"/>
        </w:trPr>
        <w:tc>
          <w:tcPr>
            <w:tcW w:w="454" w:type="dxa"/>
            <w:noWrap w:val="0"/>
            <w:vAlign w:val="center"/>
          </w:tcPr>
          <w:p>
            <w:pPr>
              <w:pStyle w:val="29"/>
              <w:widowControl w:val="0"/>
              <w:adjustRightInd w:val="0"/>
              <w:spacing w:before="0" w:beforeAutospacing="0" w:after="0" w:afterAutospacing="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工艺流程和产排污环节</w:t>
            </w:r>
          </w:p>
        </w:tc>
        <w:tc>
          <w:tcPr>
            <w:tcW w:w="8835" w:type="dxa"/>
            <w:noWrap w:val="0"/>
            <w:vAlign w:val="top"/>
          </w:tcPr>
          <w:p>
            <w:pPr>
              <w:pStyle w:val="98"/>
              <w:keepNext/>
              <w:keepLines/>
              <w:pageBreakBefore w:val="0"/>
              <w:widowControl w:val="0"/>
              <w:kinsoku/>
              <w:wordWrap/>
              <w:overflowPunct/>
              <w:topLinePunct w:val="0"/>
              <w:autoSpaceDE/>
              <w:autoSpaceDN/>
              <w:bidi w:val="0"/>
              <w:adjustRightInd w:val="0"/>
              <w:snapToGrid w:val="0"/>
              <w:spacing w:before="219" w:beforeLines="70" w:after="219" w:afterLines="70" w:line="240" w:lineRule="auto"/>
              <w:ind w:firstLine="0" w:firstLineChars="0"/>
              <w:textAlignment w:val="auto"/>
              <w:rPr>
                <w:rFonts w:hint="default" w:ascii="Times New Roman" w:hAnsi="Times New Roman" w:eastAsia="宋体" w:cs="Times New Roman"/>
                <w:b/>
                <w:bCs w:val="0"/>
                <w:snapToGrid/>
                <w:color w:val="auto"/>
                <w:sz w:val="30"/>
                <w:szCs w:val="30"/>
                <w:highlight w:val="none"/>
                <w:lang w:val="en-US" w:eastAsia="zh-CN"/>
              </w:rPr>
            </w:pPr>
            <w:bookmarkStart w:id="49" w:name="_Toc28561"/>
            <w:bookmarkStart w:id="50" w:name="_Toc21725"/>
            <w:r>
              <w:rPr>
                <w:rFonts w:hint="default" w:ascii="Times New Roman" w:hAnsi="Times New Roman" w:eastAsia="宋体" w:cs="Times New Roman"/>
                <w:b/>
                <w:bCs w:val="0"/>
                <w:snapToGrid/>
                <w:color w:val="auto"/>
                <w:sz w:val="30"/>
                <w:szCs w:val="30"/>
                <w:highlight w:val="none"/>
                <w:lang w:val="en-US" w:eastAsia="zh-CN"/>
              </w:rPr>
              <w:t>2.</w:t>
            </w:r>
            <w:r>
              <w:rPr>
                <w:rFonts w:hint="eastAsia" w:ascii="Times New Roman" w:hAnsi="Times New Roman" w:eastAsia="宋体" w:cs="Times New Roman"/>
                <w:b/>
                <w:bCs w:val="0"/>
                <w:snapToGrid/>
                <w:color w:val="auto"/>
                <w:sz w:val="30"/>
                <w:szCs w:val="30"/>
                <w:highlight w:val="none"/>
                <w:lang w:val="en-US" w:eastAsia="zh-CN"/>
              </w:rPr>
              <w:t>2</w:t>
            </w:r>
            <w:r>
              <w:rPr>
                <w:rFonts w:hint="default" w:ascii="Times New Roman" w:hAnsi="Times New Roman" w:eastAsia="宋体" w:cs="Times New Roman"/>
                <w:b/>
                <w:bCs w:val="0"/>
                <w:snapToGrid/>
                <w:color w:val="auto"/>
                <w:sz w:val="30"/>
                <w:szCs w:val="30"/>
                <w:highlight w:val="none"/>
                <w:lang w:val="en-US" w:eastAsia="zh-CN"/>
              </w:rPr>
              <w:t xml:space="preserve"> </w:t>
            </w:r>
            <w:r>
              <w:rPr>
                <w:rFonts w:hint="eastAsia" w:ascii="Times New Roman" w:hAnsi="Times New Roman" w:eastAsia="宋体" w:cs="Times New Roman"/>
                <w:b/>
                <w:bCs w:val="0"/>
                <w:snapToGrid/>
                <w:color w:val="auto"/>
                <w:sz w:val="30"/>
                <w:szCs w:val="30"/>
                <w:highlight w:val="none"/>
                <w:lang w:val="en-US" w:eastAsia="zh-CN"/>
              </w:rPr>
              <w:t xml:space="preserve"> </w:t>
            </w:r>
            <w:r>
              <w:rPr>
                <w:rFonts w:hint="default" w:ascii="Times New Roman" w:hAnsi="Times New Roman" w:eastAsia="宋体" w:cs="Times New Roman"/>
                <w:b/>
                <w:bCs w:val="0"/>
                <w:snapToGrid/>
                <w:color w:val="auto"/>
                <w:sz w:val="30"/>
                <w:szCs w:val="30"/>
                <w:highlight w:val="none"/>
                <w:lang w:val="en-US" w:eastAsia="zh-CN"/>
              </w:rPr>
              <w:t>工艺流程和产排污环节</w:t>
            </w:r>
            <w:bookmarkEnd w:id="49"/>
            <w:bookmarkEnd w:id="50"/>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2</w:t>
            </w:r>
            <w:r>
              <w:rPr>
                <w:rFonts w:hint="default" w:ascii="Times New Roman" w:hAnsi="Times New Roman" w:eastAsia="宋体" w:cs="Times New Roman"/>
                <w:b/>
                <w:bCs/>
                <w:color w:val="auto"/>
                <w:sz w:val="28"/>
                <w:szCs w:val="28"/>
                <w:highlight w:val="none"/>
                <w:lang w:val="en-US" w:eastAsia="zh-CN"/>
              </w:rPr>
              <w:t>.1  生产工艺流程</w:t>
            </w:r>
          </w:p>
          <w:p>
            <w:pPr>
              <w:pStyle w:val="45"/>
              <w:keepNext w:val="0"/>
              <w:keepLines w:val="0"/>
              <w:pageBreakBefore w:val="0"/>
              <w:widowControl w:val="0"/>
              <w:kinsoku/>
              <w:wordWrap/>
              <w:overflowPunct/>
              <w:topLinePunct w:val="0"/>
              <w:bidi w:val="0"/>
              <w:adjustRightInd w:val="0"/>
              <w:snapToGrid w:val="0"/>
              <w:ind w:firstLine="480"/>
              <w:textAlignment w:val="auto"/>
              <w:outlineLvl w:val="9"/>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本项目原料主要是福建青拓集团产生的钢渣，福建青拓集团将精炼渣通过冷却、球磨、摇床磁选等工序，将精炼渣中的铁精矿磁选出来自用，摇床磁选后的钢渣外售给本项目作为原料，生产路基垫层及钢渣细粉</w:t>
            </w:r>
            <w:r>
              <w:rPr>
                <w:rFonts w:hint="default" w:ascii="Times New Roman" w:hAnsi="Times New Roman" w:eastAsia="宋体" w:cs="Times New Roman"/>
                <w:color w:val="auto"/>
                <w:sz w:val="24"/>
                <w:lang w:val="en-US" w:eastAsia="zh-CN"/>
              </w:rPr>
              <w:t>。</w:t>
            </w:r>
          </w:p>
          <w:p>
            <w:pPr>
              <w:pStyle w:val="45"/>
              <w:keepNext w:val="0"/>
              <w:keepLines w:val="0"/>
              <w:pageBreakBefore w:val="0"/>
              <w:widowControl w:val="0"/>
              <w:kinsoku/>
              <w:wordWrap/>
              <w:overflowPunct/>
              <w:topLinePunct w:val="0"/>
              <w:bidi w:val="0"/>
              <w:adjustRightInd w:val="0"/>
              <w:snapToGrid w:val="0"/>
              <w:ind w:firstLine="480"/>
              <w:textAlignment w:val="auto"/>
              <w:outlineLvl w:val="9"/>
              <w:rPr>
                <w:rFonts w:hint="eastAsia" w:cs="Times New Roman"/>
                <w:color w:val="auto"/>
                <w:sz w:val="24"/>
                <w:lang w:val="en-US" w:eastAsia="zh-CN"/>
              </w:rPr>
            </w:pPr>
            <w:r>
              <w:rPr>
                <w:rFonts w:hint="eastAsia" w:cs="Times New Roman"/>
                <w:color w:val="auto"/>
                <w:sz w:val="24"/>
                <w:lang w:val="en-US" w:eastAsia="zh-CN"/>
              </w:rPr>
              <w:t>（1）破碎：钢渣通过上料斗进入破碎机进行破碎；</w:t>
            </w:r>
          </w:p>
          <w:p>
            <w:pPr>
              <w:pStyle w:val="45"/>
              <w:keepNext w:val="0"/>
              <w:keepLines w:val="0"/>
              <w:pageBreakBefore w:val="0"/>
              <w:widowControl w:val="0"/>
              <w:kinsoku/>
              <w:wordWrap/>
              <w:overflowPunct/>
              <w:topLinePunct w:val="0"/>
              <w:bidi w:val="0"/>
              <w:adjustRightInd w:val="0"/>
              <w:snapToGrid w:val="0"/>
              <w:ind w:firstLine="480"/>
              <w:textAlignment w:val="auto"/>
              <w:outlineLvl w:val="9"/>
              <w:rPr>
                <w:rFonts w:hint="default" w:cs="Times New Roman"/>
                <w:color w:val="auto"/>
                <w:sz w:val="24"/>
                <w:highlight w:val="none"/>
                <w:lang w:val="en-US" w:eastAsia="zh-CN"/>
              </w:rPr>
            </w:pPr>
            <w:r>
              <w:rPr>
                <w:rFonts w:hint="eastAsia" w:cs="Times New Roman"/>
                <w:color w:val="auto"/>
                <w:sz w:val="24"/>
                <w:highlight w:val="none"/>
                <w:lang w:val="en-US" w:eastAsia="zh-CN"/>
              </w:rPr>
              <w:t>（2）筛分：将破碎后的物料，由输送带运至筛分机，进一步筛分处理，将钢渣细粉筛分出来，用皮带输送至钢渣细粉堆场，其他不同粒径的粗物料通过皮带输送至搅拌机混合搅拌；</w:t>
            </w:r>
          </w:p>
          <w:p>
            <w:pPr>
              <w:pStyle w:val="45"/>
              <w:keepNext w:val="0"/>
              <w:keepLines w:val="0"/>
              <w:pageBreakBefore w:val="0"/>
              <w:widowControl w:val="0"/>
              <w:kinsoku/>
              <w:wordWrap/>
              <w:overflowPunct/>
              <w:topLinePunct w:val="0"/>
              <w:bidi w:val="0"/>
              <w:adjustRightInd w:val="0"/>
              <w:snapToGrid w:val="0"/>
              <w:ind w:firstLine="480"/>
              <w:textAlignment w:val="auto"/>
              <w:outlineLvl w:val="9"/>
              <w:rPr>
                <w:rFonts w:hint="eastAsia" w:cs="Times New Roman"/>
                <w:color w:val="auto"/>
                <w:sz w:val="24"/>
                <w:lang w:val="en-US" w:eastAsia="zh-CN"/>
              </w:rPr>
            </w:pPr>
            <w:r>
              <w:rPr>
                <w:rFonts w:hint="eastAsia" w:cs="Times New Roman"/>
                <w:color w:val="auto"/>
                <w:sz w:val="24"/>
                <w:lang w:val="en-US" w:eastAsia="zh-CN"/>
              </w:rPr>
              <w:t>（3）搅拌：将筛分出的粗物料经厂区搅拌机搅拌后，生成产品路基垫层。</w:t>
            </w:r>
          </w:p>
          <w:p>
            <w:pPr>
              <w:pStyle w:val="45"/>
              <w:keepNext w:val="0"/>
              <w:keepLines w:val="0"/>
              <w:pageBreakBefore w:val="0"/>
              <w:widowControl w:val="0"/>
              <w:kinsoku/>
              <w:wordWrap/>
              <w:overflowPunct/>
              <w:topLinePunct w:val="0"/>
              <w:bidi w:val="0"/>
              <w:adjustRightInd w:val="0"/>
              <w:snapToGrid w:val="0"/>
              <w:ind w:firstLine="48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生产工艺流程及产污环节见图2.</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和表2.</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pPr>
              <w:pStyle w:val="45"/>
              <w:keepNext w:val="0"/>
              <w:keepLines w:val="0"/>
              <w:pageBreakBefore w:val="0"/>
              <w:widowControl w:val="0"/>
              <w:kinsoku/>
              <w:wordWrap/>
              <w:overflowPunct/>
              <w:topLinePunct w:val="0"/>
              <w:bidi w:val="0"/>
              <w:adjustRightInd w:val="0"/>
              <w:snapToGrid w:val="0"/>
              <w:ind w:left="0" w:leftChars="0" w:firstLine="0" w:firstLineChars="0"/>
              <w:jc w:val="center"/>
              <w:textAlignment w:val="auto"/>
              <w:outlineLvl w:val="9"/>
              <w:rPr>
                <w:rFonts w:hint="eastAsia" w:ascii="Times New Roman" w:hAnsi="Times New Roman" w:eastAsia="黑体" w:cs="Times New Roman"/>
                <w:color w:val="0000FF"/>
                <w:sz w:val="24"/>
                <w:lang w:val="en-US" w:eastAsia="zh-CN"/>
              </w:rPr>
            </w:pPr>
            <w:r>
              <w:rPr>
                <w:rFonts w:hint="eastAsia" w:ascii="Times New Roman" w:hAnsi="Times New Roman" w:eastAsia="黑体" w:cs="Times New Roman"/>
                <w:color w:val="0000FF"/>
                <w:sz w:val="24"/>
                <w:lang w:val="en-US" w:eastAsia="zh-CN"/>
              </w:rPr>
              <w:drawing>
                <wp:inline distT="0" distB="0" distL="114300" distR="114300">
                  <wp:extent cx="4277995" cy="3827780"/>
                  <wp:effectExtent l="0" t="0" r="0" b="1270"/>
                  <wp:docPr id="43" name="ECB019B1-382A-4266-B25C-5B523AA43C14-1" descr="C:/Users/Administrator/AppData/Local/Temp/wps.WlmOo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CB019B1-382A-4266-B25C-5B523AA43C14-1" descr="C:/Users/Administrator/AppData/Local/Temp/wps.WlmOoBwps"/>
                          <pic:cNvPicPr>
                            <a:picLocks noChangeAspect="1"/>
                          </pic:cNvPicPr>
                        </pic:nvPicPr>
                        <pic:blipFill>
                          <a:blip r:embed="rId14"/>
                          <a:srcRect t="8395" r="5754" b="5980"/>
                          <a:stretch>
                            <a:fillRect/>
                          </a:stretch>
                        </pic:blipFill>
                        <pic:spPr>
                          <a:xfrm>
                            <a:off x="0" y="0"/>
                            <a:ext cx="4277995" cy="382778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-1  </w:t>
            </w:r>
            <w:r>
              <w:rPr>
                <w:rFonts w:hint="eastAsia" w:ascii="Times New Roman" w:hAnsi="Times New Roman" w:eastAsia="宋体" w:cs="Times New Roman"/>
                <w:b/>
                <w:bCs/>
                <w:color w:val="auto"/>
                <w:sz w:val="24"/>
                <w:szCs w:val="24"/>
                <w:lang w:val="en-US" w:eastAsia="zh-CN"/>
              </w:rPr>
              <w:t>道路钢渣生产线</w:t>
            </w:r>
            <w:r>
              <w:rPr>
                <w:rFonts w:hint="default" w:ascii="Times New Roman" w:hAnsi="Times New Roman" w:eastAsia="宋体" w:cs="Times New Roman"/>
                <w:b/>
                <w:bCs/>
                <w:color w:val="auto"/>
                <w:sz w:val="24"/>
                <w:szCs w:val="24"/>
                <w:lang w:val="en-US" w:eastAsia="zh-CN"/>
              </w:rPr>
              <w:t>生产工艺及产污环节图</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2</w:t>
            </w:r>
            <w:r>
              <w:rPr>
                <w:rFonts w:hint="default" w:ascii="Times New Roman" w:hAnsi="Times New Roman" w:eastAsia="宋体" w:cs="Times New Roman"/>
                <w:b/>
                <w:bCs/>
                <w:color w:val="auto"/>
                <w:sz w:val="28"/>
                <w:szCs w:val="28"/>
                <w:highlight w:val="none"/>
                <w:lang w:val="en-US" w:eastAsia="zh-CN"/>
              </w:rPr>
              <w:t>.2  产污环节分析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cs="Times New Roman"/>
                <w:color w:val="auto"/>
                <w:sz w:val="24"/>
                <w:lang w:eastAsia="zh-CN"/>
              </w:rPr>
              <w:t>以上</w:t>
            </w:r>
            <w:r>
              <w:rPr>
                <w:rFonts w:hint="default" w:ascii="Times New Roman" w:hAnsi="Times New Roman" w:cs="Times New Roman"/>
                <w:color w:val="auto"/>
                <w:sz w:val="24"/>
              </w:rPr>
              <w:t>生产工艺流程和产污环节分析，项目除噪声源外的主要污染源、污染防治措施及排放去向</w:t>
            </w:r>
            <w:r>
              <w:rPr>
                <w:rFonts w:hint="default" w:ascii="Times New Roman" w:hAnsi="Times New Roman" w:cs="Times New Roman"/>
                <w:color w:val="auto"/>
                <w:sz w:val="24"/>
                <w:lang w:eastAsia="zh-CN"/>
              </w:rPr>
              <w:t>汇总情况</w:t>
            </w:r>
            <w:r>
              <w:rPr>
                <w:rFonts w:hint="default" w:ascii="Times New Roman" w:hAnsi="Times New Roman" w:cs="Times New Roman"/>
                <w:color w:val="auto"/>
                <w:sz w:val="24"/>
              </w:rPr>
              <w:t>见表2.</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-1  污染源及污染防治措施一览表</w:t>
            </w:r>
          </w:p>
          <w:tbl>
            <w:tblPr>
              <w:tblStyle w:val="33"/>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577"/>
              <w:gridCol w:w="1948"/>
              <w:gridCol w:w="2603"/>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33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113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510"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污染物主要成份</w:t>
                  </w:r>
                </w:p>
              </w:tc>
              <w:tc>
                <w:tcPr>
                  <w:tcW w:w="171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治理措施及排放去向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33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G1</w:t>
                  </w:r>
                </w:p>
              </w:tc>
              <w:tc>
                <w:tcPr>
                  <w:tcW w:w="113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破碎、筛分、二次破碎、搅拌和皮带输送</w:t>
                  </w:r>
                  <w:r>
                    <w:rPr>
                      <w:rFonts w:hint="default" w:ascii="Times New Roman" w:hAnsi="Times New Roman" w:cs="Times New Roman"/>
                      <w:color w:val="auto"/>
                      <w:sz w:val="21"/>
                      <w:szCs w:val="21"/>
                      <w:highlight w:val="none"/>
                      <w:lang w:val="en-US" w:eastAsia="zh-CN"/>
                    </w:rPr>
                    <w:t>废气</w:t>
                  </w:r>
                </w:p>
              </w:tc>
              <w:tc>
                <w:tcPr>
                  <w:tcW w:w="1510"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颗粒物</w:t>
                  </w:r>
                </w:p>
              </w:tc>
              <w:tc>
                <w:tcPr>
                  <w:tcW w:w="171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各自通过集气后，经过脉冲布袋除尘处理后由一根</w:t>
                  </w:r>
                  <w:r>
                    <w:rPr>
                      <w:rFonts w:hint="default" w:ascii="Times New Roman" w:hAnsi="Times New Roman" w:cs="Times New Roman"/>
                      <w:color w:val="auto"/>
                      <w:sz w:val="21"/>
                      <w:szCs w:val="21"/>
                      <w:highlight w:val="none"/>
                    </w:rPr>
                    <w:t>15m排气筒</w:t>
                  </w:r>
                  <w:r>
                    <w:rPr>
                      <w:rFonts w:hint="default" w:ascii="Times New Roman" w:hAnsi="Times New Roman" w:cs="Times New Roman"/>
                      <w:color w:val="auto"/>
                      <w:sz w:val="21"/>
                      <w:szCs w:val="21"/>
                      <w:highlight w:val="none"/>
                      <w:lang w:val="en-US" w:eastAsia="zh-CN"/>
                    </w:rPr>
                    <w:t>直</w:t>
                  </w:r>
                  <w:r>
                    <w:rPr>
                      <w:rFonts w:hint="default" w:ascii="Times New Roman" w:hAnsi="Times New Roman" w:cs="Times New Roman"/>
                      <w:color w:val="auto"/>
                      <w:sz w:val="21"/>
                      <w:szCs w:val="21"/>
                      <w:highlight w:val="none"/>
                    </w:rPr>
                    <w:t>排</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DA0</w:t>
                  </w:r>
                  <w:r>
                    <w:rPr>
                      <w:rFonts w:hint="eastAsia" w:cs="Times New Roman"/>
                      <w:color w:val="auto"/>
                      <w:sz w:val="21"/>
                      <w:szCs w:val="21"/>
                      <w:highlight w:val="none"/>
                      <w:lang w:val="en-US" w:eastAsia="zh-CN"/>
                    </w:rPr>
                    <w:t>03</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p>
              </w:tc>
              <w:tc>
                <w:tcPr>
                  <w:tcW w:w="33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U1</w:t>
                  </w:r>
                </w:p>
              </w:tc>
              <w:tc>
                <w:tcPr>
                  <w:tcW w:w="113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无组织废气</w:t>
                  </w:r>
                </w:p>
              </w:tc>
              <w:tc>
                <w:tcPr>
                  <w:tcW w:w="1510"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171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加强车间通风</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洒水抑尘</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运输过程使用车载篷布遮盖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33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w:t>
                  </w:r>
                  <w:r>
                    <w:rPr>
                      <w:rFonts w:hint="default" w:ascii="Times New Roman" w:hAnsi="Times New Roman" w:cs="Times New Roman"/>
                      <w:color w:val="auto"/>
                      <w:sz w:val="21"/>
                      <w:szCs w:val="21"/>
                      <w:lang w:val="en-US" w:eastAsia="zh-CN"/>
                    </w:rPr>
                    <w:t>1</w:t>
                  </w:r>
                </w:p>
              </w:tc>
              <w:tc>
                <w:tcPr>
                  <w:tcW w:w="113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生活污水</w:t>
                  </w:r>
                </w:p>
              </w:tc>
              <w:tc>
                <w:tcPr>
                  <w:tcW w:w="1510"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pH、COD、SS、氨氮、BOD</w:t>
                  </w:r>
                </w:p>
              </w:tc>
              <w:tc>
                <w:tcPr>
                  <w:tcW w:w="171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经化粪池处理后排</w:t>
                  </w:r>
                  <w:r>
                    <w:rPr>
                      <w:rFonts w:hint="eastAsia" w:cs="Times New Roman"/>
                      <w:color w:val="auto"/>
                      <w:sz w:val="21"/>
                      <w:szCs w:val="21"/>
                      <w:lang w:val="en-US" w:eastAsia="zh-CN"/>
                    </w:rPr>
                    <w:t>入</w:t>
                  </w:r>
                  <w:r>
                    <w:rPr>
                      <w:rFonts w:hint="eastAsia"/>
                      <w:color w:val="auto"/>
                      <w:sz w:val="21"/>
                      <w:szCs w:val="21"/>
                    </w:rPr>
                    <w:t>福安市湾坞西片区污水处理厂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33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S1</w:t>
                  </w:r>
                </w:p>
              </w:tc>
              <w:tc>
                <w:tcPr>
                  <w:tcW w:w="113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除尘灰</w:t>
                  </w:r>
                </w:p>
              </w:tc>
              <w:tc>
                <w:tcPr>
                  <w:tcW w:w="1510"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氧化钙</w:t>
                  </w:r>
                </w:p>
              </w:tc>
              <w:tc>
                <w:tcPr>
                  <w:tcW w:w="171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p>
              </w:tc>
              <w:tc>
                <w:tcPr>
                  <w:tcW w:w="33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S</w:t>
                  </w:r>
                  <w:r>
                    <w:rPr>
                      <w:rFonts w:hint="default" w:ascii="Times New Roman" w:hAnsi="Times New Roman" w:cs="Times New Roman"/>
                      <w:color w:val="auto"/>
                      <w:sz w:val="21"/>
                      <w:szCs w:val="21"/>
                      <w:lang w:val="en-US" w:eastAsia="zh-CN"/>
                    </w:rPr>
                    <w:t>3</w:t>
                  </w:r>
                </w:p>
              </w:tc>
              <w:tc>
                <w:tcPr>
                  <w:tcW w:w="113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w:t>
                  </w:r>
                </w:p>
              </w:tc>
              <w:tc>
                <w:tcPr>
                  <w:tcW w:w="1510"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w:t>
                  </w:r>
                </w:p>
              </w:tc>
              <w:tc>
                <w:tcPr>
                  <w:tcW w:w="171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由园区环卫部门清运和处置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5" w:type="pct"/>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p>
              </w:tc>
              <w:tc>
                <w:tcPr>
                  <w:tcW w:w="335"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S5</w:t>
                  </w:r>
                </w:p>
              </w:tc>
              <w:tc>
                <w:tcPr>
                  <w:tcW w:w="113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废机油</w:t>
                  </w:r>
                </w:p>
              </w:tc>
              <w:tc>
                <w:tcPr>
                  <w:tcW w:w="1510"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bidi="ar"/>
                    </w:rPr>
                    <w:t>危险废物</w:t>
                  </w:r>
                  <w:r>
                    <w:rPr>
                      <w:rFonts w:hint="eastAsia" w:ascii="Times New Roman" w:hAnsi="Times New Roman" w:eastAsia="宋体" w:cs="Times New Roman"/>
                      <w:color w:val="auto"/>
                      <w:kern w:val="0"/>
                      <w:sz w:val="21"/>
                      <w:szCs w:val="21"/>
                      <w:highlight w:val="none"/>
                      <w:lang w:val="en-US" w:eastAsia="zh-CN" w:bidi="ar"/>
                    </w:rPr>
                    <w:t>（类别：</w:t>
                  </w:r>
                  <w:r>
                    <w:rPr>
                      <w:rFonts w:hint="default" w:ascii="Times New Roman" w:hAnsi="Times New Roman" w:eastAsia="宋体" w:cs="Times New Roman"/>
                      <w:color w:val="auto"/>
                      <w:kern w:val="0"/>
                      <w:sz w:val="21"/>
                      <w:szCs w:val="21"/>
                      <w:highlight w:val="none"/>
                      <w:lang w:val="en-US" w:eastAsia="zh-CN" w:bidi="ar"/>
                    </w:rPr>
                    <w:t>HW09</w:t>
                  </w:r>
                  <w:r>
                    <w:rPr>
                      <w:rFonts w:hint="eastAsia" w:ascii="Times New Roman" w:hAnsi="Times New Roman" w:eastAsia="宋体" w:cs="Times New Roman"/>
                      <w:color w:val="auto"/>
                      <w:kern w:val="0"/>
                      <w:sz w:val="21"/>
                      <w:szCs w:val="21"/>
                      <w:highlight w:val="none"/>
                      <w:lang w:val="en-US" w:eastAsia="zh-CN" w:bidi="ar"/>
                    </w:rPr>
                    <w:t>，代码：</w:t>
                  </w:r>
                  <w:r>
                    <w:rPr>
                      <w:rFonts w:hint="default" w:ascii="Times New Roman" w:hAnsi="Times New Roman" w:cs="Times New Roman"/>
                      <w:color w:val="auto"/>
                      <w:sz w:val="21"/>
                      <w:szCs w:val="21"/>
                    </w:rPr>
                    <w:t>900-2</w:t>
                  </w:r>
                  <w:r>
                    <w:rPr>
                      <w:rFonts w:hint="default" w:ascii="Times New Roman" w:hAnsi="Times New Roman" w:cs="Times New Roman"/>
                      <w:color w:val="auto"/>
                      <w:sz w:val="21"/>
                      <w:szCs w:val="21"/>
                      <w:lang w:val="en-US" w:eastAsia="zh-CN"/>
                    </w:rPr>
                    <w:t>17</w:t>
                  </w:r>
                  <w:r>
                    <w:rPr>
                      <w:rFonts w:hint="default" w:ascii="Times New Roman" w:hAnsi="Times New Roman" w:cs="Times New Roman"/>
                      <w:color w:val="auto"/>
                      <w:sz w:val="21"/>
                      <w:szCs w:val="21"/>
                    </w:rPr>
                    <w:t>-08</w:t>
                  </w:r>
                  <w:r>
                    <w:rPr>
                      <w:rFonts w:hint="eastAsia" w:ascii="Times New Roman" w:hAnsi="Times New Roman" w:eastAsia="宋体" w:cs="Times New Roman"/>
                      <w:color w:val="auto"/>
                      <w:kern w:val="0"/>
                      <w:sz w:val="21"/>
                      <w:szCs w:val="21"/>
                      <w:highlight w:val="none"/>
                      <w:lang w:val="en-US" w:eastAsia="zh-CN" w:bidi="ar"/>
                    </w:rPr>
                    <w:t>）</w:t>
                  </w:r>
                </w:p>
              </w:tc>
              <w:tc>
                <w:tcPr>
                  <w:tcW w:w="1718" w:type="pc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委托有资质单位处置</w:t>
                  </w:r>
                </w:p>
              </w:tc>
            </w:tr>
          </w:tbl>
          <w:p>
            <w:pPr>
              <w:pStyle w:val="11"/>
              <w:rPr>
                <w:rFonts w:hint="default"/>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4" w:hRule="atLeast"/>
          <w:jc w:val="center"/>
        </w:trPr>
        <w:tc>
          <w:tcPr>
            <w:tcW w:w="454" w:type="dxa"/>
            <w:noWrap w:val="0"/>
            <w:vAlign w:val="center"/>
          </w:tcPr>
          <w:p>
            <w:pPr>
              <w:pStyle w:val="29"/>
              <w:widowControl w:val="0"/>
              <w:adjustRightInd w:val="0"/>
              <w:spacing w:before="0" w:beforeAutospacing="0" w:after="0" w:afterAutospacing="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szCs w:val="21"/>
                <w:highlight w:val="none"/>
              </w:rPr>
              <w:t>与项目有关的原有环境污染问题</w:t>
            </w:r>
          </w:p>
        </w:tc>
        <w:tc>
          <w:tcPr>
            <w:tcW w:w="8835" w:type="dxa"/>
            <w:noWrap w:val="0"/>
            <w:vAlign w:val="top"/>
          </w:tcPr>
          <w:p>
            <w:pPr>
              <w:pStyle w:val="98"/>
              <w:keepNext/>
              <w:keepLines/>
              <w:pageBreakBefore w:val="0"/>
              <w:widowControl w:val="0"/>
              <w:kinsoku/>
              <w:wordWrap/>
              <w:overflowPunct/>
              <w:topLinePunct w:val="0"/>
              <w:autoSpaceDE/>
              <w:autoSpaceDN/>
              <w:bidi w:val="0"/>
              <w:adjustRightInd w:val="0"/>
              <w:snapToGrid w:val="0"/>
              <w:spacing w:before="219" w:beforeLines="70" w:after="219" w:afterLines="70" w:line="240" w:lineRule="auto"/>
              <w:ind w:firstLine="0" w:firstLineChars="0"/>
              <w:textAlignment w:val="auto"/>
              <w:rPr>
                <w:rFonts w:hint="default" w:ascii="Times New Roman" w:hAnsi="Times New Roman" w:eastAsia="宋体" w:cs="Times New Roman"/>
                <w:b/>
                <w:bCs w:val="0"/>
                <w:snapToGrid/>
                <w:color w:val="auto"/>
                <w:sz w:val="30"/>
                <w:szCs w:val="30"/>
                <w:highlight w:val="none"/>
                <w:lang w:val="en-US" w:eastAsia="zh-CN"/>
              </w:rPr>
            </w:pPr>
            <w:r>
              <w:rPr>
                <w:rFonts w:hint="default" w:ascii="Times New Roman" w:hAnsi="Times New Roman" w:eastAsia="宋体" w:cs="Times New Roman"/>
                <w:b/>
                <w:bCs w:val="0"/>
                <w:snapToGrid/>
                <w:color w:val="auto"/>
                <w:sz w:val="30"/>
                <w:szCs w:val="30"/>
                <w:highlight w:val="none"/>
                <w:lang w:val="en-US" w:eastAsia="zh-CN"/>
              </w:rPr>
              <w:t>2.</w:t>
            </w:r>
            <w:r>
              <w:rPr>
                <w:rFonts w:hint="eastAsia" w:ascii="Times New Roman" w:hAnsi="Times New Roman" w:eastAsia="宋体" w:cs="Times New Roman"/>
                <w:b/>
                <w:bCs w:val="0"/>
                <w:snapToGrid/>
                <w:color w:val="auto"/>
                <w:sz w:val="30"/>
                <w:szCs w:val="30"/>
                <w:highlight w:val="none"/>
                <w:lang w:val="en-US" w:eastAsia="zh-CN"/>
              </w:rPr>
              <w:t xml:space="preserve">3  </w:t>
            </w:r>
            <w:r>
              <w:rPr>
                <w:rFonts w:hint="default" w:ascii="Times New Roman" w:hAnsi="Times New Roman" w:eastAsia="宋体" w:cs="Times New Roman"/>
                <w:b/>
                <w:bCs w:val="0"/>
                <w:snapToGrid/>
                <w:color w:val="auto"/>
                <w:sz w:val="30"/>
                <w:szCs w:val="30"/>
                <w:highlight w:val="none"/>
                <w:lang w:val="en-US" w:eastAsia="zh-CN"/>
              </w:rPr>
              <w:t>现有工程概况</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福安市青拓环保建材有限公司</w:t>
            </w:r>
            <w:r>
              <w:rPr>
                <w:rFonts w:hint="eastAsia" w:ascii="Times New Roman" w:hAnsi="Times New Roman" w:eastAsia="宋体" w:cs="Times New Roman"/>
                <w:color w:val="auto"/>
                <w:spacing w:val="4"/>
                <w:kern w:val="0"/>
                <w:sz w:val="24"/>
                <w:highlight w:val="none"/>
                <w:lang w:val="en-US" w:eastAsia="zh-CN"/>
              </w:rPr>
              <w:t>已</w:t>
            </w:r>
            <w:r>
              <w:rPr>
                <w:rFonts w:hint="default" w:ascii="Times New Roman" w:hAnsi="Times New Roman" w:eastAsia="宋体" w:cs="Times New Roman"/>
                <w:color w:val="auto"/>
                <w:spacing w:val="4"/>
                <w:kern w:val="0"/>
                <w:sz w:val="24"/>
                <w:highlight w:val="none"/>
                <w:lang w:val="en-US" w:eastAsia="zh-CN"/>
              </w:rPr>
              <w:t>建设2条年处理量为150万吨的矿渣微粉生产线，总规模约为300万吨/年</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宁德市福安生态环境局（原福安市环境保护局）于2017年10月23日以安环保[2017]121号文对“《福安市青拓环保建材有限公司年处理300万吨工业废渣综合利用项目环境影响报告书》”予以批复</w:t>
            </w:r>
            <w:r>
              <w:rPr>
                <w:rFonts w:hint="eastAsia" w:cs="Times New Roman"/>
                <w:color w:val="auto"/>
                <w:spacing w:val="4"/>
                <w:kern w:val="0"/>
                <w:sz w:val="24"/>
                <w:highlight w:val="none"/>
                <w:lang w:val="en-US" w:eastAsia="zh-CN"/>
              </w:rPr>
              <w:t>，</w:t>
            </w:r>
            <w:r>
              <w:rPr>
                <w:rFonts w:hint="eastAsia" w:ascii="Times New Roman" w:hAnsi="Times New Roman" w:eastAsia="宋体" w:cs="Times New Roman"/>
                <w:color w:val="auto"/>
                <w:spacing w:val="4"/>
                <w:kern w:val="0"/>
                <w:sz w:val="24"/>
                <w:highlight w:val="none"/>
                <w:lang w:val="en-US" w:eastAsia="zh-CN"/>
              </w:rPr>
              <w:t>见附件</w:t>
            </w:r>
            <w:r>
              <w:rPr>
                <w:rFonts w:hint="eastAsia" w:cs="Times New Roman"/>
                <w:color w:val="auto"/>
                <w:spacing w:val="4"/>
                <w:kern w:val="0"/>
                <w:sz w:val="24"/>
                <w:highlight w:val="none"/>
                <w:lang w:val="en-US" w:eastAsia="zh-CN"/>
              </w:rPr>
              <w:t>六。</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福安市青拓环保建材有限公司年处理300万吨工业废渣综合利用项目于2017年11月开始动工建设。2018年7月建成一条年处理量为150万吨的矿渣微粉生产线（1#生产线）及配套工程，1#生产线于2018年8月投入试运行</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 xml:space="preserve">建设单位于2019年3月27日组织召开《福安市青拓环保建材有限公司年处理300万吨工业废渣综合利用项目》阶段性竣工环境保护验收会，并通过阶段性竣工环保验收。 </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eastAsia"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2019年9月开始动工建设另一条年处理量为150万吨的矿渣微粉生产线（2#生产线）及配套工程，2#生产线于2020年7月建成，于2020年8月投入试运行</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建设单位于2021年1月29日，组织召开《福安市青拓环保建材有限公司年处理300万吨工业废渣综合利用项目》竣工环境保护验收会</w:t>
            </w:r>
            <w:r>
              <w:rPr>
                <w:rFonts w:hint="eastAsia" w:ascii="Times New Roman" w:hAnsi="Times New Roman" w:eastAsia="宋体" w:cs="Times New Roman"/>
                <w:color w:val="auto"/>
                <w:spacing w:val="4"/>
                <w:kern w:val="0"/>
                <w:sz w:val="24"/>
                <w:highlight w:val="none"/>
                <w:lang w:val="en-US" w:eastAsia="zh-CN"/>
              </w:rPr>
              <w:t>，并通过竣工环保验收</w:t>
            </w:r>
            <w:r>
              <w:rPr>
                <w:rFonts w:hint="eastAsia" w:cs="Times New Roman"/>
                <w:color w:val="auto"/>
                <w:spacing w:val="4"/>
                <w:kern w:val="0"/>
                <w:sz w:val="24"/>
                <w:highlight w:val="none"/>
                <w:lang w:val="en-US" w:eastAsia="zh-CN"/>
              </w:rPr>
              <w:t>，</w:t>
            </w:r>
            <w:r>
              <w:rPr>
                <w:rFonts w:hint="eastAsia" w:ascii="Times New Roman" w:hAnsi="Times New Roman" w:eastAsia="宋体" w:cs="Times New Roman"/>
                <w:color w:val="auto"/>
                <w:spacing w:val="4"/>
                <w:kern w:val="0"/>
                <w:sz w:val="24"/>
                <w:highlight w:val="none"/>
                <w:lang w:val="en-US" w:eastAsia="zh-CN"/>
              </w:rPr>
              <w:t>见附件</w:t>
            </w:r>
            <w:r>
              <w:rPr>
                <w:rFonts w:hint="eastAsia" w:cs="Times New Roman"/>
                <w:color w:val="auto"/>
                <w:spacing w:val="4"/>
                <w:kern w:val="0"/>
                <w:sz w:val="24"/>
                <w:highlight w:val="none"/>
                <w:lang w:val="en-US" w:eastAsia="zh-CN"/>
              </w:rPr>
              <w:t>七。</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福安市青拓环保建材有限公司</w:t>
            </w:r>
            <w:r>
              <w:rPr>
                <w:rFonts w:hint="eastAsia" w:ascii="Times New Roman" w:hAnsi="Times New Roman" w:eastAsia="宋体" w:cs="Times New Roman"/>
                <w:color w:val="auto"/>
                <w:spacing w:val="4"/>
                <w:kern w:val="0"/>
                <w:sz w:val="24"/>
                <w:highlight w:val="none"/>
                <w:lang w:val="en-US" w:eastAsia="zh-CN"/>
              </w:rPr>
              <w:t>已建成</w:t>
            </w:r>
            <w:r>
              <w:rPr>
                <w:rFonts w:hint="eastAsia" w:cs="Times New Roman"/>
                <w:color w:val="auto"/>
                <w:spacing w:val="4"/>
                <w:kern w:val="0"/>
                <w:sz w:val="24"/>
                <w:highlight w:val="none"/>
                <w:lang w:val="en-US" w:eastAsia="zh-CN"/>
              </w:rPr>
              <w:t>一条</w:t>
            </w:r>
            <w:r>
              <w:rPr>
                <w:rFonts w:hint="default" w:ascii="Times New Roman" w:hAnsi="Times New Roman" w:eastAsia="宋体" w:cs="Times New Roman"/>
                <w:color w:val="auto"/>
                <w:spacing w:val="4"/>
                <w:kern w:val="0"/>
                <w:sz w:val="24"/>
                <w:highlight w:val="none"/>
                <w:lang w:val="en-US" w:eastAsia="zh-CN"/>
              </w:rPr>
              <w:t>机制砂生产线</w:t>
            </w:r>
            <w:r>
              <w:rPr>
                <w:rFonts w:hint="eastAsia" w:ascii="Times New Roman" w:hAnsi="Times New Roman" w:eastAsia="宋体" w:cs="Times New Roman"/>
                <w:color w:val="auto"/>
                <w:spacing w:val="4"/>
                <w:kern w:val="0"/>
                <w:sz w:val="24"/>
                <w:highlight w:val="none"/>
                <w:lang w:val="en-US" w:eastAsia="zh-CN"/>
              </w:rPr>
              <w:t>，目前处于停用状态。</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-1  福安市青拓环保建材有限公司建设内容及环评、验收情况一览表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602"/>
              <w:gridCol w:w="2203"/>
              <w:gridCol w:w="210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项目名称</w:t>
                  </w:r>
                </w:p>
              </w:tc>
              <w:tc>
                <w:tcPr>
                  <w:tcW w:w="9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生产规模</w:t>
                  </w:r>
                </w:p>
              </w:tc>
              <w:tc>
                <w:tcPr>
                  <w:tcW w:w="127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环评审批部门及审批时间</w:t>
                  </w:r>
                </w:p>
              </w:tc>
              <w:tc>
                <w:tcPr>
                  <w:tcW w:w="1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竣工环保验收时间</w:t>
                  </w:r>
                </w:p>
              </w:tc>
              <w:tc>
                <w:tcPr>
                  <w:tcW w:w="51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福安市青拓环保建材有限公司年处理300万吨工业废渣综合利用项目</w:t>
                  </w:r>
                </w:p>
              </w:tc>
              <w:tc>
                <w:tcPr>
                  <w:tcW w:w="9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2条年处理量为150万吨的矿渣微粉生产线及配套工程</w:t>
                  </w:r>
                </w:p>
              </w:tc>
              <w:tc>
                <w:tcPr>
                  <w:tcW w:w="127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宁德市福安生态环境局（原福安市环境保护局）</w:t>
                  </w:r>
                  <w:r>
                    <w:rPr>
                      <w:rFonts w:hint="eastAsia" w:ascii="Times New Roman" w:hAnsi="Times New Roman" w:eastAsia="宋体" w:cs="Times New Roman"/>
                      <w:i w:val="0"/>
                      <w:color w:val="auto"/>
                      <w:kern w:val="0"/>
                      <w:sz w:val="21"/>
                      <w:szCs w:val="21"/>
                      <w:u w:val="none"/>
                      <w:lang w:val="en-US" w:eastAsia="zh-CN" w:bidi="ar"/>
                    </w:rPr>
                    <w:t>，2017年10月23日，安环保[2017]121号</w:t>
                  </w:r>
                </w:p>
              </w:tc>
              <w:tc>
                <w:tcPr>
                  <w:tcW w:w="1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2019年3月27日</w:t>
                  </w:r>
                  <w:r>
                    <w:rPr>
                      <w:rFonts w:hint="eastAsia" w:ascii="Times New Roman" w:hAnsi="Times New Roman" w:eastAsia="宋体" w:cs="Times New Roman"/>
                      <w:i w:val="0"/>
                      <w:color w:val="auto"/>
                      <w:kern w:val="0"/>
                      <w:sz w:val="21"/>
                      <w:szCs w:val="21"/>
                      <w:u w:val="none"/>
                      <w:lang w:val="en-US" w:eastAsia="zh-CN" w:bidi="ar"/>
                    </w:rPr>
                    <w:t>阶段性竣工环保验收，2021年1月29日完成验收</w:t>
                  </w:r>
                </w:p>
              </w:tc>
              <w:tc>
                <w:tcPr>
                  <w:tcW w:w="51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机制砂生产线</w:t>
                  </w:r>
                </w:p>
              </w:tc>
              <w:tc>
                <w:tcPr>
                  <w:tcW w:w="93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年</w:t>
                  </w:r>
                  <w:r>
                    <w:rPr>
                      <w:rFonts w:hint="eastAsia" w:cs="Times New Roman"/>
                      <w:i w:val="0"/>
                      <w:color w:val="auto"/>
                      <w:kern w:val="0"/>
                      <w:sz w:val="21"/>
                      <w:szCs w:val="21"/>
                      <w:u w:val="none"/>
                      <w:lang w:val="en-US" w:eastAsia="zh-CN" w:bidi="ar"/>
                    </w:rPr>
                    <w:t>生产</w:t>
                  </w:r>
                  <w:r>
                    <w:rPr>
                      <w:rFonts w:hint="default" w:ascii="Times New Roman" w:hAnsi="Times New Roman" w:eastAsia="宋体" w:cs="Times New Roman"/>
                      <w:i w:val="0"/>
                      <w:color w:val="auto"/>
                      <w:kern w:val="0"/>
                      <w:sz w:val="21"/>
                      <w:szCs w:val="21"/>
                      <w:u w:val="none"/>
                      <w:lang w:val="en-US" w:eastAsia="zh-CN" w:bidi="ar"/>
                    </w:rPr>
                    <w:t>量为150万吨</w:t>
                  </w:r>
                </w:p>
              </w:tc>
              <w:tc>
                <w:tcPr>
                  <w:tcW w:w="1279"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122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w:t>
                  </w:r>
                </w:p>
              </w:tc>
              <w:tc>
                <w:tcPr>
                  <w:tcW w:w="51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停用</w:t>
                  </w:r>
                </w:p>
              </w:tc>
            </w:tr>
          </w:tbl>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.1工程组成</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福安市青拓环保建材有限公司年处理300万吨工业废渣综合利用项目</w:t>
            </w:r>
            <w:r>
              <w:rPr>
                <w:rFonts w:hint="eastAsia" w:cs="Times New Roman"/>
                <w:color w:val="auto"/>
                <w:spacing w:val="4"/>
                <w:kern w:val="0"/>
                <w:sz w:val="24"/>
                <w:highlight w:val="none"/>
                <w:lang w:val="en-US" w:eastAsia="zh-CN"/>
              </w:rPr>
              <w:t>，</w:t>
            </w:r>
            <w:r>
              <w:rPr>
                <w:rFonts w:hint="default" w:ascii="Times New Roman" w:hAnsi="Times New Roman" w:cs="Times New Roman"/>
                <w:color w:val="auto"/>
                <w:spacing w:val="4"/>
                <w:kern w:val="0"/>
                <w:sz w:val="24"/>
                <w:highlight w:val="none"/>
                <w:lang w:val="en-US" w:eastAsia="zh-CN"/>
              </w:rPr>
              <w:t>现有</w:t>
            </w:r>
            <w:r>
              <w:rPr>
                <w:rFonts w:hint="default" w:ascii="Times New Roman" w:hAnsi="Times New Roman" w:eastAsia="宋体" w:cs="Times New Roman"/>
                <w:color w:val="auto"/>
                <w:spacing w:val="4"/>
                <w:kern w:val="0"/>
                <w:sz w:val="24"/>
                <w:highlight w:val="none"/>
                <w:lang w:val="en-US" w:eastAsia="zh-CN"/>
              </w:rPr>
              <w:t>工程组成详见表2.</w:t>
            </w:r>
            <w:r>
              <w:rPr>
                <w:rFonts w:hint="eastAsia" w:ascii="Times New Roman" w:hAnsi="Times New Roman" w:eastAsia="宋体" w:cs="Times New Roman"/>
                <w:color w:val="auto"/>
                <w:spacing w:val="4"/>
                <w:kern w:val="0"/>
                <w:sz w:val="24"/>
                <w:highlight w:val="none"/>
                <w:lang w:val="en-US" w:eastAsia="zh-CN"/>
              </w:rPr>
              <w:t>3</w:t>
            </w:r>
            <w:r>
              <w:rPr>
                <w:rFonts w:hint="default" w:ascii="Times New Roman" w:hAnsi="Times New Roman" w:eastAsia="宋体" w:cs="Times New Roman"/>
                <w:color w:val="auto"/>
                <w:spacing w:val="4"/>
                <w:kern w:val="0"/>
                <w:sz w:val="24"/>
                <w:highlight w:val="none"/>
                <w:lang w:val="en-US" w:eastAsia="zh-CN"/>
              </w:rPr>
              <w:t>-</w:t>
            </w:r>
            <w:r>
              <w:rPr>
                <w:rFonts w:hint="eastAsia" w:ascii="Times New Roman" w:hAnsi="Times New Roman" w:eastAsia="宋体" w:cs="Times New Roman"/>
                <w:color w:val="auto"/>
                <w:spacing w:val="4"/>
                <w:kern w:val="0"/>
                <w:sz w:val="24"/>
                <w:highlight w:val="none"/>
                <w:lang w:val="en-US" w:eastAsia="zh-CN"/>
              </w:rPr>
              <w:t>2</w:t>
            </w:r>
            <w:r>
              <w:rPr>
                <w:rFonts w:hint="default" w:ascii="Times New Roman" w:hAnsi="Times New Roman" w:eastAsia="宋体" w:cs="Times New Roman"/>
                <w:color w:val="auto"/>
                <w:spacing w:val="4"/>
                <w:kern w:val="0"/>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年处理300万吨工业废渣综合利用项目现有工程组成</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183"/>
              <w:gridCol w:w="4460"/>
              <w:gridCol w:w="1689"/>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类别</w:t>
                  </w: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名称</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工程内容</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建设及运行情况</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358"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主体</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工程</w:t>
                  </w: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原料配料系统</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①原料堆棚：原料渣堆棚长216m、宽123m，轴线面积26568m</w:t>
                  </w:r>
                  <w:r>
                    <w:rPr>
                      <w:rFonts w:hint="default" w:cs="Times New Roman"/>
                      <w:i w:val="0"/>
                      <w:color w:val="auto"/>
                      <w:kern w:val="0"/>
                      <w:sz w:val="21"/>
                      <w:szCs w:val="21"/>
                      <w:u w:val="none"/>
                      <w:vertAlign w:val="superscript"/>
                      <w:lang w:val="en-US" w:eastAsia="zh-CN" w:bidi="ar"/>
                    </w:rPr>
                    <w:t>2</w:t>
                  </w:r>
                  <w:r>
                    <w:rPr>
                      <w:rFonts w:hint="default" w:cs="Times New Roman"/>
                      <w:i w:val="0"/>
                      <w:color w:val="auto"/>
                      <w:kern w:val="0"/>
                      <w:sz w:val="21"/>
                      <w:szCs w:val="21"/>
                      <w:u w:val="none"/>
                      <w:lang w:val="en-US" w:eastAsia="zh-CN" w:bidi="ar"/>
                    </w:rPr>
                    <w:t>；②缓冲上料斗：设置6个缓冲上料斗，每个缓冲仓长5m，宽4m，每个料斗轴线面积 20m</w:t>
                  </w:r>
                  <w:r>
                    <w:rPr>
                      <w:rFonts w:hint="default" w:cs="Times New Roman"/>
                      <w:i w:val="0"/>
                      <w:color w:val="auto"/>
                      <w:kern w:val="0"/>
                      <w:sz w:val="21"/>
                      <w:szCs w:val="21"/>
                      <w:u w:val="none"/>
                      <w:vertAlign w:val="superscript"/>
                      <w:lang w:val="en-US" w:eastAsia="zh-CN" w:bidi="ar"/>
                    </w:rPr>
                    <w:t>2</w:t>
                  </w:r>
                  <w:r>
                    <w:rPr>
                      <w:rFonts w:hint="default" w:cs="Times New Roman"/>
                      <w:i w:val="0"/>
                      <w:color w:val="auto"/>
                      <w:kern w:val="0"/>
                      <w:sz w:val="21"/>
                      <w:szCs w:val="21"/>
                      <w:u w:val="none"/>
                      <w:lang w:val="en-US" w:eastAsia="zh-CN" w:bidi="ar"/>
                    </w:rPr>
                    <w:t>；③皮带通廊：皮带通廊净宽3.5m，净高2.5m。</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已建成运行</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粉磨系统</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 xml:space="preserve">2 </w:t>
                  </w:r>
                  <w:r>
                    <w:rPr>
                      <w:rFonts w:hint="eastAsia" w:cs="Times New Roman"/>
                      <w:i w:val="0"/>
                      <w:color w:val="auto"/>
                      <w:kern w:val="0"/>
                      <w:sz w:val="21"/>
                      <w:szCs w:val="21"/>
                      <w:u w:val="none"/>
                      <w:lang w:val="en-US" w:eastAsia="zh-CN" w:bidi="ar"/>
                    </w:rPr>
                    <w:t>套</w:t>
                  </w:r>
                  <w:r>
                    <w:rPr>
                      <w:rFonts w:hint="default" w:cs="Times New Roman"/>
                      <w:i w:val="0"/>
                      <w:color w:val="auto"/>
                      <w:kern w:val="0"/>
                      <w:sz w:val="21"/>
                      <w:szCs w:val="21"/>
                      <w:u w:val="none"/>
                      <w:lang w:val="en-US" w:eastAsia="zh-CN" w:bidi="ar"/>
                    </w:rPr>
                    <w:t>LGMS5525</w:t>
                  </w:r>
                  <w:r>
                    <w:rPr>
                      <w:rFonts w:hint="eastAsia" w:cs="Times New Roman"/>
                      <w:i w:val="0"/>
                      <w:color w:val="auto"/>
                      <w:kern w:val="0"/>
                      <w:sz w:val="21"/>
                      <w:szCs w:val="21"/>
                      <w:u w:val="none"/>
                      <w:lang w:val="en-US" w:eastAsia="zh-CN" w:bidi="ar"/>
                    </w:rPr>
                    <w:t>立磨系统、</w:t>
                  </w:r>
                  <w:r>
                    <w:rPr>
                      <w:rFonts w:hint="default" w:cs="Times New Roman"/>
                      <w:i w:val="0"/>
                      <w:color w:val="auto"/>
                      <w:kern w:val="0"/>
                      <w:sz w:val="21"/>
                      <w:szCs w:val="21"/>
                      <w:u w:val="none"/>
                      <w:lang w:val="en-US" w:eastAsia="zh-CN" w:bidi="ar"/>
                    </w:rPr>
                    <w:t>2</w:t>
                  </w:r>
                  <w:r>
                    <w:rPr>
                      <w:rFonts w:hint="eastAsia" w:cs="Times New Roman"/>
                      <w:i w:val="0"/>
                      <w:color w:val="auto"/>
                      <w:kern w:val="0"/>
                      <w:sz w:val="21"/>
                      <w:szCs w:val="21"/>
                      <w:u w:val="none"/>
                      <w:lang w:val="en-US" w:eastAsia="zh-CN" w:bidi="ar"/>
                    </w:rPr>
                    <w:t>个热风炉、</w:t>
                  </w:r>
                  <w:r>
                    <w:rPr>
                      <w:rFonts w:hint="default" w:cs="Times New Roman"/>
                      <w:i w:val="0"/>
                      <w:color w:val="auto"/>
                      <w:kern w:val="0"/>
                      <w:sz w:val="21"/>
                      <w:szCs w:val="21"/>
                      <w:u w:val="none"/>
                      <w:lang w:val="en-US" w:eastAsia="zh-CN" w:bidi="ar"/>
                    </w:rPr>
                    <w:t>2</w:t>
                  </w:r>
                  <w:r>
                    <w:rPr>
                      <w:rFonts w:hint="eastAsia" w:cs="Times New Roman"/>
                      <w:i w:val="0"/>
                      <w:color w:val="auto"/>
                      <w:kern w:val="0"/>
                      <w:sz w:val="21"/>
                      <w:szCs w:val="21"/>
                      <w:u w:val="none"/>
                      <w:lang w:val="en-US" w:eastAsia="zh-CN" w:bidi="ar"/>
                    </w:rPr>
                    <w:t>个收尘器及风机房、空气输送斜槽通廊；①立磨系统：钢筋混凝土基础、立磨露天布置；②循环提升机楼长</w:t>
                  </w:r>
                  <w:r>
                    <w:rPr>
                      <w:rFonts w:hint="default" w:cs="Times New Roman"/>
                      <w:i w:val="0"/>
                      <w:color w:val="auto"/>
                      <w:kern w:val="0"/>
                      <w:sz w:val="21"/>
                      <w:szCs w:val="21"/>
                      <w:u w:val="none"/>
                      <w:lang w:val="en-US" w:eastAsia="zh-CN" w:bidi="ar"/>
                    </w:rPr>
                    <w:t>10m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9m</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6</w:t>
                  </w:r>
                  <w:r>
                    <w:rPr>
                      <w:rFonts w:hint="eastAsia" w:cs="Times New Roman"/>
                      <w:i w:val="0"/>
                      <w:color w:val="auto"/>
                      <w:kern w:val="0"/>
                      <w:sz w:val="21"/>
                      <w:szCs w:val="21"/>
                      <w:u w:val="none"/>
                      <w:lang w:val="en-US" w:eastAsia="zh-CN" w:bidi="ar"/>
                    </w:rPr>
                    <w:t>层，建筑物总高约</w:t>
                  </w:r>
                  <w:r>
                    <w:rPr>
                      <w:rFonts w:hint="default" w:cs="Times New Roman"/>
                      <w:i w:val="0"/>
                      <w:color w:val="auto"/>
                      <w:kern w:val="0"/>
                      <w:sz w:val="21"/>
                      <w:szCs w:val="21"/>
                      <w:u w:val="none"/>
                      <w:lang w:val="en-US" w:eastAsia="zh-CN" w:bidi="ar"/>
                    </w:rPr>
                    <w:t>25m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540m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，钢结构框架；③热风炉：每个热风炉长</w:t>
                  </w:r>
                  <w:r>
                    <w:rPr>
                      <w:rFonts w:hint="default" w:cs="Times New Roman"/>
                      <w:i w:val="0"/>
                      <w:color w:val="auto"/>
                      <w:kern w:val="0"/>
                      <w:sz w:val="21"/>
                      <w:szCs w:val="21"/>
                      <w:u w:val="none"/>
                      <w:lang w:val="en-US" w:eastAsia="zh-CN" w:bidi="ar"/>
                    </w:rPr>
                    <w:t>25m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10m</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5</w:t>
                  </w:r>
                  <w:r>
                    <w:rPr>
                      <w:rFonts w:hint="eastAsia" w:cs="Times New Roman"/>
                      <w:i w:val="0"/>
                      <w:color w:val="auto"/>
                      <w:kern w:val="0"/>
                      <w:sz w:val="21"/>
                      <w:szCs w:val="21"/>
                      <w:u w:val="none"/>
                      <w:lang w:val="en-US" w:eastAsia="zh-CN" w:bidi="ar"/>
                    </w:rPr>
                    <w:t>层，建筑物总高约</w:t>
                  </w:r>
                  <w:r>
                    <w:rPr>
                      <w:rFonts w:hint="default" w:cs="Times New Roman"/>
                      <w:i w:val="0"/>
                      <w:color w:val="auto"/>
                      <w:kern w:val="0"/>
                      <w:sz w:val="21"/>
                      <w:szCs w:val="21"/>
                      <w:u w:val="none"/>
                      <w:lang w:val="en-US" w:eastAsia="zh-CN" w:bidi="ar"/>
                    </w:rPr>
                    <w:t>20m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1250m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；④收尘器及风机房：每个收尘器房长</w:t>
                  </w:r>
                  <w:r>
                    <w:rPr>
                      <w:rFonts w:hint="default" w:cs="Times New Roman"/>
                      <w:i w:val="0"/>
                      <w:color w:val="auto"/>
                      <w:kern w:val="0"/>
                      <w:sz w:val="21"/>
                      <w:szCs w:val="21"/>
                      <w:u w:val="none"/>
                      <w:lang w:val="en-US" w:eastAsia="zh-CN" w:bidi="ar"/>
                    </w:rPr>
                    <w:t>21.14m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19.83m</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4</w:t>
                  </w:r>
                  <w:r>
                    <w:rPr>
                      <w:rFonts w:hint="eastAsia" w:cs="Times New Roman"/>
                      <w:i w:val="0"/>
                      <w:color w:val="auto"/>
                      <w:kern w:val="0"/>
                      <w:sz w:val="21"/>
                      <w:szCs w:val="21"/>
                      <w:u w:val="none"/>
                      <w:lang w:val="en-US" w:eastAsia="zh-CN" w:bidi="ar"/>
                    </w:rPr>
                    <w:t>层，轴线面积</w:t>
                  </w:r>
                  <w:r>
                    <w:rPr>
                      <w:rFonts w:hint="default" w:cs="Times New Roman"/>
                      <w:i w:val="0"/>
                      <w:color w:val="auto"/>
                      <w:kern w:val="0"/>
                      <w:sz w:val="21"/>
                      <w:szCs w:val="21"/>
                      <w:u w:val="none"/>
                      <w:lang w:val="en-US" w:eastAsia="zh-CN" w:bidi="ar"/>
                    </w:rPr>
                    <w:t>1676m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；风机房长</w:t>
                  </w:r>
                  <w:r>
                    <w:rPr>
                      <w:rFonts w:hint="default" w:cs="Times New Roman"/>
                      <w:i w:val="0"/>
                      <w:color w:val="auto"/>
                      <w:kern w:val="0"/>
                      <w:sz w:val="21"/>
                      <w:szCs w:val="21"/>
                      <w:u w:val="none"/>
                      <w:lang w:val="en-US" w:eastAsia="zh-CN" w:bidi="ar"/>
                    </w:rPr>
                    <w:t>10.5m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8m</w:t>
                  </w:r>
                  <w:r>
                    <w:rPr>
                      <w:rFonts w:hint="eastAsia" w:cs="Times New Roman"/>
                      <w:i w:val="0"/>
                      <w:color w:val="auto"/>
                      <w:kern w:val="0"/>
                      <w:sz w:val="21"/>
                      <w:szCs w:val="21"/>
                      <w:u w:val="none"/>
                      <w:lang w:val="en-US" w:eastAsia="zh-CN" w:bidi="ar"/>
                    </w:rPr>
                    <w:t>，单层，轴线面积</w:t>
                  </w:r>
                  <w:r>
                    <w:rPr>
                      <w:rFonts w:hint="default" w:cs="Times New Roman"/>
                      <w:i w:val="0"/>
                      <w:color w:val="auto"/>
                      <w:kern w:val="0"/>
                      <w:sz w:val="21"/>
                      <w:szCs w:val="21"/>
                      <w:u w:val="none"/>
                      <w:lang w:val="en-US" w:eastAsia="zh-CN" w:bidi="ar"/>
                    </w:rPr>
                    <w:t>84m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；⑤空气输送斜槽通廊：通廊净宽</w:t>
                  </w:r>
                  <w:r>
                    <w:rPr>
                      <w:rFonts w:hint="default" w:cs="Times New Roman"/>
                      <w:i w:val="0"/>
                      <w:color w:val="auto"/>
                      <w:kern w:val="0"/>
                      <w:sz w:val="21"/>
                      <w:szCs w:val="21"/>
                      <w:u w:val="none"/>
                      <w:lang w:val="en-US" w:eastAsia="zh-CN" w:bidi="ar"/>
                    </w:rPr>
                    <w:t>2.5m</w:t>
                  </w:r>
                  <w:r>
                    <w:rPr>
                      <w:rFonts w:hint="eastAsia" w:cs="Times New Roman"/>
                      <w:i w:val="0"/>
                      <w:color w:val="auto"/>
                      <w:kern w:val="0"/>
                      <w:sz w:val="21"/>
                      <w:szCs w:val="21"/>
                      <w:u w:val="none"/>
                      <w:lang w:val="en-US" w:eastAsia="zh-CN" w:bidi="ar"/>
                    </w:rPr>
                    <w:t>，净高</w:t>
                  </w:r>
                  <w:r>
                    <w:rPr>
                      <w:rFonts w:hint="default" w:cs="Times New Roman"/>
                      <w:i w:val="0"/>
                      <w:color w:val="auto"/>
                      <w:kern w:val="0"/>
                      <w:sz w:val="21"/>
                      <w:szCs w:val="21"/>
                      <w:u w:val="none"/>
                      <w:lang w:val="en-US" w:eastAsia="zh-CN" w:bidi="ar"/>
                    </w:rPr>
                    <w:t>2.5m</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已建成运行</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成品储存及汽车散装系统</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成品库</w:t>
                  </w:r>
                  <w:r>
                    <w:rPr>
                      <w:rFonts w:hint="default" w:cs="Times New Roman"/>
                      <w:i w:val="0"/>
                      <w:color w:val="auto"/>
                      <w:kern w:val="0"/>
                      <w:sz w:val="21"/>
                      <w:szCs w:val="21"/>
                      <w:u w:val="none"/>
                      <w:lang w:val="en-US" w:eastAsia="zh-CN" w:bidi="ar"/>
                    </w:rPr>
                    <w:t>6</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6000t</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2×11000t</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2</w:t>
                  </w:r>
                  <w:r>
                    <w:rPr>
                      <w:rFonts w:hint="eastAsia" w:cs="Times New Roman"/>
                      <w:i w:val="0"/>
                      <w:color w:val="auto"/>
                      <w:kern w:val="0"/>
                      <w:sz w:val="21"/>
                      <w:szCs w:val="21"/>
                      <w:u w:val="none"/>
                      <w:lang w:val="en-US" w:eastAsia="zh-CN" w:bidi="ar"/>
                    </w:rPr>
                    <w:t>座成品转运站，转运站长</w:t>
                  </w:r>
                  <w:r>
                    <w:rPr>
                      <w:rFonts w:hint="default" w:cs="Times New Roman"/>
                      <w:i w:val="0"/>
                      <w:color w:val="auto"/>
                      <w:kern w:val="0"/>
                      <w:sz w:val="21"/>
                      <w:szCs w:val="21"/>
                      <w:u w:val="none"/>
                      <w:lang w:val="en-US" w:eastAsia="zh-CN" w:bidi="ar"/>
                    </w:rPr>
                    <w:t>8m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8m</w:t>
                  </w:r>
                  <w:r>
                    <w:rPr>
                      <w:rFonts w:hint="eastAsia" w:cs="Times New Roman"/>
                      <w:i w:val="0"/>
                      <w:color w:val="auto"/>
                      <w:kern w:val="0"/>
                      <w:sz w:val="21"/>
                      <w:szCs w:val="21"/>
                      <w:u w:val="none"/>
                      <w:lang w:val="en-US" w:eastAsia="zh-CN" w:bidi="ar"/>
                    </w:rPr>
                    <w:t>，五层，建筑物总高约</w:t>
                  </w:r>
                  <w:r>
                    <w:rPr>
                      <w:rFonts w:hint="default" w:cs="Times New Roman"/>
                      <w:i w:val="0"/>
                      <w:color w:val="auto"/>
                      <w:kern w:val="0"/>
                      <w:sz w:val="21"/>
                      <w:szCs w:val="21"/>
                      <w:u w:val="none"/>
                      <w:lang w:val="en-US" w:eastAsia="zh-CN" w:bidi="ar"/>
                    </w:rPr>
                    <w:t>51.5m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320m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成品库数量由</w:t>
                  </w:r>
                  <w:r>
                    <w:rPr>
                      <w:rFonts w:hint="default" w:cs="Times New Roman"/>
                      <w:i w:val="0"/>
                      <w:color w:val="auto"/>
                      <w:kern w:val="0"/>
                      <w:sz w:val="21"/>
                      <w:szCs w:val="21"/>
                      <w:u w:val="none"/>
                      <w:lang w:val="en-US" w:eastAsia="zh-CN" w:bidi="ar"/>
                    </w:rPr>
                    <w:t>6</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6000t</w:t>
                  </w:r>
                  <w:r>
                    <w:rPr>
                      <w:rFonts w:hint="eastAsia" w:cs="Times New Roman"/>
                      <w:i w:val="0"/>
                      <w:color w:val="auto"/>
                      <w:kern w:val="0"/>
                      <w:sz w:val="21"/>
                      <w:szCs w:val="21"/>
                      <w:u w:val="none"/>
                      <w:lang w:val="en-US" w:eastAsia="zh-CN" w:bidi="ar"/>
                    </w:rPr>
                    <w:t>调整为</w:t>
                  </w:r>
                  <w:r>
                    <w:rPr>
                      <w:rFonts w:hint="default" w:cs="Times New Roman"/>
                      <w:i w:val="0"/>
                      <w:color w:val="auto"/>
                      <w:kern w:val="0"/>
                      <w:sz w:val="21"/>
                      <w:szCs w:val="21"/>
                      <w:u w:val="none"/>
                      <w:lang w:val="en-US" w:eastAsia="zh-CN" w:bidi="ar"/>
                    </w:rPr>
                    <w:t>2×11000t</w:t>
                  </w:r>
                  <w:r>
                    <w:rPr>
                      <w:rFonts w:hint="eastAsia" w:cs="Times New Roman"/>
                      <w:i w:val="0"/>
                      <w:color w:val="auto"/>
                      <w:kern w:val="0"/>
                      <w:sz w:val="21"/>
                      <w:szCs w:val="21"/>
                      <w:u w:val="none"/>
                      <w:lang w:val="en-US" w:eastAsia="zh-CN" w:bidi="ar"/>
                    </w:rPr>
                    <w:t>，其余没有变化。均</w:t>
                  </w:r>
                  <w:r>
                    <w:rPr>
                      <w:rFonts w:hint="default" w:cs="Times New Roman"/>
                      <w:i w:val="0"/>
                      <w:color w:val="auto"/>
                      <w:kern w:val="0"/>
                      <w:sz w:val="21"/>
                      <w:szCs w:val="21"/>
                      <w:u w:val="none"/>
                      <w:lang w:val="en-US" w:eastAsia="zh-CN" w:bidi="ar"/>
                    </w:rPr>
                    <w:t>已建成运行</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燃料系统</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燃料堆棚：</w:t>
                  </w:r>
                  <w:r>
                    <w:rPr>
                      <w:rFonts w:hint="default" w:cs="Times New Roman"/>
                      <w:i w:val="0"/>
                      <w:color w:val="auto"/>
                      <w:kern w:val="0"/>
                      <w:sz w:val="21"/>
                      <w:szCs w:val="21"/>
                      <w:u w:val="none"/>
                      <w:lang w:val="en-US" w:eastAsia="zh-CN" w:bidi="ar"/>
                    </w:rPr>
                    <w:t>2</w:t>
                  </w:r>
                  <w:r>
                    <w:rPr>
                      <w:rFonts w:hint="eastAsia" w:cs="Times New Roman"/>
                      <w:i w:val="0"/>
                      <w:color w:val="auto"/>
                      <w:kern w:val="0"/>
                      <w:sz w:val="21"/>
                      <w:szCs w:val="21"/>
                      <w:u w:val="none"/>
                      <w:lang w:val="en-US" w:eastAsia="zh-CN" w:bidi="ar"/>
                    </w:rPr>
                    <w:t>座燃料堆棚，长</w:t>
                  </w:r>
                  <w:r>
                    <w:rPr>
                      <w:rFonts w:hint="default" w:cs="Times New Roman"/>
                      <w:i w:val="0"/>
                      <w:color w:val="auto"/>
                      <w:kern w:val="0"/>
                      <w:sz w:val="21"/>
                      <w:szCs w:val="21"/>
                      <w:u w:val="none"/>
                      <w:lang w:val="en-US" w:eastAsia="zh-CN" w:bidi="ar"/>
                    </w:rPr>
                    <w:t>18m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9m</w:t>
                  </w:r>
                  <w:r>
                    <w:rPr>
                      <w:rFonts w:hint="eastAsia" w:cs="Times New Roman"/>
                      <w:i w:val="0"/>
                      <w:color w:val="auto"/>
                      <w:kern w:val="0"/>
                      <w:sz w:val="21"/>
                      <w:szCs w:val="21"/>
                      <w:u w:val="none"/>
                      <w:lang w:val="en-US" w:eastAsia="zh-CN" w:bidi="ar"/>
                    </w:rPr>
                    <w:t>，燃料为生物质燃料。</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已建成运行</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公辅工程</w:t>
                  </w: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办公楼</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办公楼长</w:t>
                  </w:r>
                  <w:r>
                    <w:rPr>
                      <w:rFonts w:hint="default" w:cs="Times New Roman"/>
                      <w:i w:val="0"/>
                      <w:color w:val="auto"/>
                      <w:kern w:val="0"/>
                      <w:sz w:val="21"/>
                      <w:szCs w:val="21"/>
                      <w:u w:val="none"/>
                      <w:lang w:val="en-US" w:eastAsia="zh-CN" w:bidi="ar"/>
                    </w:rPr>
                    <w:t>21.6m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15m</w:t>
                  </w:r>
                  <w:r>
                    <w:rPr>
                      <w:rFonts w:hint="eastAsia" w:cs="Times New Roman"/>
                      <w:i w:val="0"/>
                      <w:color w:val="auto"/>
                      <w:kern w:val="0"/>
                      <w:sz w:val="21"/>
                      <w:szCs w:val="21"/>
                      <w:u w:val="none"/>
                      <w:lang w:val="en-US" w:eastAsia="zh-CN" w:bidi="ar"/>
                    </w:rPr>
                    <w:t>，四层，总高约</w:t>
                  </w:r>
                  <w:r>
                    <w:rPr>
                      <w:rFonts w:hint="default" w:cs="Times New Roman"/>
                      <w:i w:val="0"/>
                      <w:color w:val="auto"/>
                      <w:kern w:val="0"/>
                      <w:sz w:val="21"/>
                      <w:szCs w:val="21"/>
                      <w:u w:val="none"/>
                      <w:lang w:val="en-US" w:eastAsia="zh-CN" w:bidi="ar"/>
                    </w:rPr>
                    <w:t>16m</w:t>
                  </w:r>
                  <w:r>
                    <w:rPr>
                      <w:rFonts w:hint="eastAsia" w:cs="Times New Roman"/>
                      <w:i w:val="0"/>
                      <w:color w:val="auto"/>
                      <w:kern w:val="0"/>
                      <w:sz w:val="21"/>
                      <w:szCs w:val="21"/>
                      <w:u w:val="none"/>
                      <w:lang w:val="en-US" w:eastAsia="zh-CN" w:bidi="ar"/>
                    </w:rPr>
                    <w:t xml:space="preserve">，轴线面积 </w:t>
                  </w:r>
                  <w:r>
                    <w:rPr>
                      <w:rFonts w:hint="default" w:cs="Times New Roman"/>
                      <w:i w:val="0"/>
                      <w:color w:val="auto"/>
                      <w:kern w:val="0"/>
                      <w:sz w:val="21"/>
                      <w:szCs w:val="21"/>
                      <w:u w:val="none"/>
                      <w:lang w:val="en-US" w:eastAsia="zh-CN" w:bidi="ar"/>
                    </w:rPr>
                    <w:t>1296m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办公室规模变大，办公楼长</w:t>
                  </w:r>
                  <w:r>
                    <w:rPr>
                      <w:rFonts w:hint="default" w:cs="Times New Roman"/>
                      <w:i w:val="0"/>
                      <w:color w:val="auto"/>
                      <w:kern w:val="0"/>
                      <w:sz w:val="21"/>
                      <w:szCs w:val="21"/>
                      <w:u w:val="none"/>
                      <w:lang w:val="en-US" w:eastAsia="zh-CN" w:bidi="ar"/>
                    </w:rPr>
                    <w:t>40.6m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19m</w:t>
                  </w:r>
                  <w:r>
                    <w:rPr>
                      <w:rFonts w:hint="eastAsia" w:cs="Times New Roman"/>
                      <w:i w:val="0"/>
                      <w:color w:val="auto"/>
                      <w:kern w:val="0"/>
                      <w:sz w:val="21"/>
                      <w:szCs w:val="21"/>
                      <w:u w:val="none"/>
                      <w:lang w:val="en-US" w:eastAsia="zh-CN" w:bidi="ar"/>
                    </w:rPr>
                    <w:t>，五层，总高约</w:t>
                  </w:r>
                  <w:r>
                    <w:rPr>
                      <w:rFonts w:hint="default" w:cs="Times New Roman"/>
                      <w:i w:val="0"/>
                      <w:color w:val="auto"/>
                      <w:kern w:val="0"/>
                      <w:sz w:val="21"/>
                      <w:szCs w:val="21"/>
                      <w:u w:val="none"/>
                      <w:lang w:val="en-US" w:eastAsia="zh-CN" w:bidi="ar"/>
                    </w:rPr>
                    <w:t>20m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3857m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w:t>
                  </w: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循环水泵房</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循环水泵房：长</w:t>
                  </w:r>
                  <w:r>
                    <w:rPr>
                      <w:rFonts w:hint="default" w:cs="Times New Roman"/>
                      <w:i w:val="0"/>
                      <w:color w:val="auto"/>
                      <w:kern w:val="0"/>
                      <w:sz w:val="21"/>
                      <w:szCs w:val="21"/>
                      <w:u w:val="none"/>
                      <w:lang w:val="en-US" w:eastAsia="zh-CN" w:bidi="ar"/>
                    </w:rPr>
                    <w:t>10.0m</w:t>
                  </w:r>
                  <w:r>
                    <w:rPr>
                      <w:rFonts w:hint="eastAsia" w:cs="Times New Roman"/>
                      <w:i w:val="0"/>
                      <w:color w:val="auto"/>
                      <w:kern w:val="0"/>
                      <w:sz w:val="21"/>
                      <w:szCs w:val="21"/>
                      <w:u w:val="none"/>
                      <w:lang w:val="en-US" w:eastAsia="zh-CN" w:bidi="ar"/>
                    </w:rPr>
                    <w:t xml:space="preserve">、宽 </w:t>
                  </w:r>
                  <w:r>
                    <w:rPr>
                      <w:rFonts w:hint="default" w:cs="Times New Roman"/>
                      <w:i w:val="0"/>
                      <w:color w:val="auto"/>
                      <w:kern w:val="0"/>
                      <w:sz w:val="21"/>
                      <w:szCs w:val="21"/>
                      <w:u w:val="none"/>
                      <w:lang w:val="en-US" w:eastAsia="zh-CN" w:bidi="ar"/>
                    </w:rPr>
                    <w:t>5.0m</w:t>
                  </w:r>
                  <w:r>
                    <w:rPr>
                      <w:rFonts w:hint="eastAsia" w:cs="Times New Roman"/>
                      <w:i w:val="0"/>
                      <w:color w:val="auto"/>
                      <w:kern w:val="0"/>
                      <w:sz w:val="21"/>
                      <w:szCs w:val="21"/>
                      <w:u w:val="none"/>
                      <w:lang w:val="en-US" w:eastAsia="zh-CN" w:bidi="ar"/>
                    </w:rPr>
                    <w:t>，单层约</w:t>
                  </w:r>
                  <w:r>
                    <w:rPr>
                      <w:rFonts w:hint="default" w:cs="Times New Roman"/>
                      <w:i w:val="0"/>
                      <w:color w:val="auto"/>
                      <w:kern w:val="0"/>
                      <w:sz w:val="21"/>
                      <w:szCs w:val="21"/>
                      <w:u w:val="none"/>
                      <w:lang w:val="en-US" w:eastAsia="zh-CN" w:bidi="ar"/>
                    </w:rPr>
                    <w:t>5.0m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50.0m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；冷却塔</w:t>
                  </w:r>
                  <w:r>
                    <w:rPr>
                      <w:rFonts w:hint="default" w:cs="Times New Roman"/>
                      <w:i w:val="0"/>
                      <w:color w:val="auto"/>
                      <w:kern w:val="0"/>
                      <w:sz w:val="21"/>
                      <w:szCs w:val="21"/>
                      <w:u w:val="none"/>
                      <w:lang w:val="en-US" w:eastAsia="zh-CN" w:bidi="ar"/>
                    </w:rPr>
                    <w:t>2</w:t>
                  </w:r>
                  <w:r>
                    <w:rPr>
                      <w:rFonts w:hint="eastAsia" w:cs="Times New Roman"/>
                      <w:i w:val="0"/>
                      <w:color w:val="auto"/>
                      <w:kern w:val="0"/>
                      <w:sz w:val="21"/>
                      <w:szCs w:val="21"/>
                      <w:u w:val="none"/>
                      <w:lang w:val="en-US" w:eastAsia="zh-CN" w:bidi="ar"/>
                    </w:rPr>
                    <w:t>台；循环水池长</w:t>
                  </w:r>
                  <w:r>
                    <w:rPr>
                      <w:rFonts w:hint="default" w:cs="Times New Roman"/>
                      <w:i w:val="0"/>
                      <w:color w:val="auto"/>
                      <w:kern w:val="0"/>
                      <w:sz w:val="21"/>
                      <w:szCs w:val="21"/>
                      <w:u w:val="none"/>
                      <w:lang w:val="en-US" w:eastAsia="zh-CN" w:bidi="ar"/>
                    </w:rPr>
                    <w:t>6.4m</w:t>
                  </w:r>
                  <w:r>
                    <w:rPr>
                      <w:rFonts w:hint="eastAsia" w:cs="Times New Roman"/>
                      <w:i w:val="0"/>
                      <w:color w:val="auto"/>
                      <w:kern w:val="0"/>
                      <w:sz w:val="21"/>
                      <w:szCs w:val="21"/>
                      <w:u w:val="none"/>
                      <w:lang w:val="en-US" w:eastAsia="zh-CN" w:bidi="ar"/>
                    </w:rPr>
                    <w:t xml:space="preserve">、宽 </w:t>
                  </w:r>
                  <w:r>
                    <w:rPr>
                      <w:rFonts w:hint="default" w:cs="Times New Roman"/>
                      <w:i w:val="0"/>
                      <w:color w:val="auto"/>
                      <w:kern w:val="0"/>
                      <w:sz w:val="21"/>
                      <w:szCs w:val="21"/>
                      <w:u w:val="none"/>
                      <w:lang w:val="en-US" w:eastAsia="zh-CN" w:bidi="ar"/>
                    </w:rPr>
                    <w:t>3.2m.</w:t>
                  </w:r>
                  <w:r>
                    <w:rPr>
                      <w:rFonts w:hint="eastAsia" w:cs="Times New Roman"/>
                      <w:i w:val="0"/>
                      <w:color w:val="auto"/>
                      <w:kern w:val="0"/>
                      <w:sz w:val="21"/>
                      <w:szCs w:val="21"/>
                      <w:u w:val="none"/>
                      <w:lang w:val="en-US" w:eastAsia="zh-CN" w:bidi="ar"/>
                    </w:rPr>
                    <w:t>、水池深</w:t>
                  </w:r>
                  <w:r>
                    <w:rPr>
                      <w:rFonts w:hint="default" w:cs="Times New Roman"/>
                      <w:i w:val="0"/>
                      <w:color w:val="auto"/>
                      <w:kern w:val="0"/>
                      <w:sz w:val="21"/>
                      <w:szCs w:val="21"/>
                      <w:u w:val="none"/>
                      <w:lang w:val="en-US" w:eastAsia="zh-CN" w:bidi="ar"/>
                    </w:rPr>
                    <w:t>3.0m</w:t>
                  </w:r>
                  <w:r>
                    <w:rPr>
                      <w:rFonts w:hint="eastAsia" w:cs="Times New Roman"/>
                      <w:i w:val="0"/>
                      <w:color w:val="auto"/>
                      <w:kern w:val="0"/>
                      <w:sz w:val="21"/>
                      <w:szCs w:val="21"/>
                      <w:u w:val="none"/>
                      <w:lang w:val="en-US" w:eastAsia="zh-CN" w:bidi="ar"/>
                    </w:rPr>
                    <w:t>。</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生产电气室</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长</w:t>
                  </w:r>
                  <w:r>
                    <w:rPr>
                      <w:rFonts w:hint="default" w:cs="Times New Roman"/>
                      <w:i w:val="0"/>
                      <w:color w:val="auto"/>
                      <w:kern w:val="0"/>
                      <w:sz w:val="21"/>
                      <w:szCs w:val="21"/>
                      <w:u w:val="none"/>
                      <w:lang w:val="en-US" w:eastAsia="zh-CN" w:bidi="ar"/>
                    </w:rPr>
                    <w:t>21.14m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19.83m</w:t>
                  </w:r>
                  <w:r>
                    <w:rPr>
                      <w:rFonts w:hint="eastAsia" w:cs="Times New Roman"/>
                      <w:i w:val="0"/>
                      <w:color w:val="auto"/>
                      <w:kern w:val="0"/>
                      <w:sz w:val="21"/>
                      <w:szCs w:val="21"/>
                      <w:u w:val="none"/>
                      <w:lang w:val="en-US" w:eastAsia="zh-CN" w:bidi="ar"/>
                    </w:rPr>
                    <w:t>，变压器室部分高</w:t>
                  </w:r>
                  <w:r>
                    <w:rPr>
                      <w:rFonts w:hint="default" w:cs="Times New Roman"/>
                      <w:i w:val="0"/>
                      <w:color w:val="auto"/>
                      <w:kern w:val="0"/>
                      <w:sz w:val="21"/>
                      <w:szCs w:val="21"/>
                      <w:u w:val="none"/>
                      <w:lang w:val="en-US" w:eastAsia="zh-CN" w:bidi="ar"/>
                    </w:rPr>
                    <w:t>5.5m</w:t>
                  </w:r>
                  <w:r>
                    <w:rPr>
                      <w:rFonts w:hint="eastAsia" w:cs="Times New Roman"/>
                      <w:i w:val="0"/>
                      <w:color w:val="auto"/>
                      <w:kern w:val="0"/>
                      <w:sz w:val="21"/>
                      <w:szCs w:val="21"/>
                      <w:u w:val="none"/>
                      <w:lang w:val="en-US" w:eastAsia="zh-CN" w:bidi="ar"/>
                    </w:rPr>
                    <w:t>，电气室高</w:t>
                  </w:r>
                  <w:r>
                    <w:rPr>
                      <w:rFonts w:hint="default" w:cs="Times New Roman"/>
                      <w:i w:val="0"/>
                      <w:color w:val="auto"/>
                      <w:kern w:val="0"/>
                      <w:sz w:val="21"/>
                      <w:szCs w:val="21"/>
                      <w:u w:val="none"/>
                      <w:lang w:val="en-US" w:eastAsia="zh-CN" w:bidi="ar"/>
                    </w:rPr>
                    <w:t>5.5m</w:t>
                  </w:r>
                  <w:r>
                    <w:rPr>
                      <w:rFonts w:hint="eastAsia" w:cs="Times New Roman"/>
                      <w:i w:val="0"/>
                      <w:color w:val="auto"/>
                      <w:kern w:val="0"/>
                      <w:sz w:val="21"/>
                      <w:szCs w:val="21"/>
                      <w:u w:val="none"/>
                      <w:lang w:val="en-US" w:eastAsia="zh-CN" w:bidi="ar"/>
                    </w:rPr>
                    <w:t>，轴线面积</w:t>
                  </w:r>
                  <w:r>
                    <w:rPr>
                      <w:rFonts w:hint="default" w:cs="Times New Roman"/>
                      <w:i w:val="0"/>
                      <w:color w:val="auto"/>
                      <w:kern w:val="0"/>
                      <w:sz w:val="21"/>
                      <w:szCs w:val="21"/>
                      <w:u w:val="none"/>
                      <w:lang w:val="en-US" w:eastAsia="zh-CN" w:bidi="ar"/>
                    </w:rPr>
                    <w:t>419.2m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供电设施</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从鼎信科技引入电源</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消防设施</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占地面积约</w:t>
                  </w:r>
                  <w:r>
                    <w:rPr>
                      <w:rFonts w:hint="default" w:cs="Times New Roman"/>
                      <w:i w:val="0"/>
                      <w:color w:val="auto"/>
                      <w:kern w:val="0"/>
                      <w:sz w:val="21"/>
                      <w:szCs w:val="21"/>
                      <w:u w:val="none"/>
                      <w:lang w:val="en-US" w:eastAsia="zh-CN" w:bidi="ar"/>
                    </w:rPr>
                    <w:t>60.0m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；消防水池长</w:t>
                  </w:r>
                  <w:r>
                    <w:rPr>
                      <w:rFonts w:hint="default" w:cs="Times New Roman"/>
                      <w:i w:val="0"/>
                      <w:color w:val="auto"/>
                      <w:kern w:val="0"/>
                      <w:sz w:val="21"/>
                      <w:szCs w:val="21"/>
                      <w:u w:val="none"/>
                      <w:lang w:val="en-US" w:eastAsia="zh-CN" w:bidi="ar"/>
                    </w:rPr>
                    <w:t>11.0m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11.0m.</w:t>
                  </w:r>
                  <w:r>
                    <w:rPr>
                      <w:rFonts w:hint="eastAsia" w:cs="Times New Roman"/>
                      <w:i w:val="0"/>
                      <w:color w:val="auto"/>
                      <w:kern w:val="0"/>
                      <w:sz w:val="21"/>
                      <w:szCs w:val="21"/>
                      <w:u w:val="none"/>
                      <w:lang w:val="en-US" w:eastAsia="zh-CN" w:bidi="ar"/>
                    </w:rPr>
                    <w:t xml:space="preserve">、水池深 </w:t>
                  </w:r>
                  <w:r>
                    <w:rPr>
                      <w:rFonts w:hint="default" w:cs="Times New Roman"/>
                      <w:i w:val="0"/>
                      <w:color w:val="auto"/>
                      <w:kern w:val="0"/>
                      <w:sz w:val="21"/>
                      <w:szCs w:val="21"/>
                      <w:u w:val="none"/>
                      <w:lang w:val="en-US" w:eastAsia="zh-CN" w:bidi="ar"/>
                    </w:rPr>
                    <w:t>3.5m</w:t>
                  </w:r>
                  <w:r>
                    <w:rPr>
                      <w:rFonts w:hint="eastAsia" w:cs="Times New Roman"/>
                      <w:i w:val="0"/>
                      <w:color w:val="auto"/>
                      <w:kern w:val="0"/>
                      <w:sz w:val="21"/>
                      <w:szCs w:val="21"/>
                      <w:u w:val="none"/>
                      <w:lang w:val="en-US" w:eastAsia="zh-CN" w:bidi="ar"/>
                    </w:rPr>
                    <w:t>，设置室外消火栓。</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给排水设施</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给水设施：循环冷却水系统、消防给水系统、生产给水系统；</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排水设施：生产排水系统、雨水排水系统。</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机修</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长</w:t>
                  </w:r>
                  <w:r>
                    <w:rPr>
                      <w:rFonts w:hint="default" w:cs="Times New Roman"/>
                      <w:i w:val="0"/>
                      <w:color w:val="auto"/>
                      <w:kern w:val="0"/>
                      <w:sz w:val="21"/>
                      <w:szCs w:val="21"/>
                      <w:u w:val="none"/>
                      <w:lang w:val="en-US" w:eastAsia="zh-CN" w:bidi="ar"/>
                    </w:rPr>
                    <w:t>36m</w:t>
                  </w:r>
                  <w:r>
                    <w:rPr>
                      <w:rFonts w:hint="eastAsia" w:cs="Times New Roman"/>
                      <w:i w:val="0"/>
                      <w:color w:val="auto"/>
                      <w:kern w:val="0"/>
                      <w:sz w:val="21"/>
                      <w:szCs w:val="21"/>
                      <w:u w:val="none"/>
                      <w:lang w:val="en-US" w:eastAsia="zh-CN" w:bidi="ar"/>
                    </w:rPr>
                    <w:t>，宽</w:t>
                  </w:r>
                  <w:r>
                    <w:rPr>
                      <w:rFonts w:hint="default" w:cs="Times New Roman"/>
                      <w:i w:val="0"/>
                      <w:color w:val="auto"/>
                      <w:kern w:val="0"/>
                      <w:sz w:val="21"/>
                      <w:szCs w:val="21"/>
                      <w:u w:val="none"/>
                      <w:lang w:val="en-US" w:eastAsia="zh-CN" w:bidi="ar"/>
                    </w:rPr>
                    <w:t>9m</w:t>
                  </w:r>
                  <w:r>
                    <w:rPr>
                      <w:rFonts w:hint="eastAsia" w:cs="Times New Roman"/>
                      <w:i w:val="0"/>
                      <w:color w:val="auto"/>
                      <w:kern w:val="0"/>
                      <w:sz w:val="21"/>
                      <w:szCs w:val="21"/>
                      <w:u w:val="none"/>
                      <w:lang w:val="en-US" w:eastAsia="zh-CN" w:bidi="ar"/>
                    </w:rPr>
                    <w:t xml:space="preserve">，单层，轴线面积 </w:t>
                  </w:r>
                  <w:r>
                    <w:rPr>
                      <w:rFonts w:hint="default" w:cs="Times New Roman"/>
                      <w:i w:val="0"/>
                      <w:color w:val="auto"/>
                      <w:kern w:val="0"/>
                      <w:sz w:val="21"/>
                      <w:szCs w:val="21"/>
                      <w:u w:val="none"/>
                      <w:lang w:val="en-US" w:eastAsia="zh-CN" w:bidi="ar"/>
                    </w:rPr>
                    <w:t>324m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机修车间规模变大，长</w:t>
                  </w:r>
                  <w:r>
                    <w:rPr>
                      <w:rFonts w:hint="default" w:cs="Times New Roman"/>
                      <w:i w:val="0"/>
                      <w:color w:val="auto"/>
                      <w:kern w:val="0"/>
                      <w:sz w:val="21"/>
                      <w:szCs w:val="21"/>
                      <w:u w:val="none"/>
                      <w:lang w:val="en-US" w:eastAsia="zh-CN" w:bidi="ar"/>
                    </w:rPr>
                    <w:t>23.8m</w:t>
                  </w:r>
                  <w:r>
                    <w:rPr>
                      <w:rFonts w:hint="eastAsia" w:cs="Times New Roman"/>
                      <w:i w:val="0"/>
                      <w:color w:val="auto"/>
                      <w:kern w:val="0"/>
                      <w:sz w:val="21"/>
                      <w:szCs w:val="21"/>
                      <w:u w:val="none"/>
                      <w:lang w:val="en-US" w:eastAsia="zh-CN" w:bidi="ar"/>
                    </w:rPr>
                    <w:t xml:space="preserve">，宽 </w:t>
                  </w:r>
                  <w:r>
                    <w:rPr>
                      <w:rFonts w:hint="default" w:cs="Times New Roman"/>
                      <w:i w:val="0"/>
                      <w:color w:val="auto"/>
                      <w:kern w:val="0"/>
                      <w:sz w:val="21"/>
                      <w:szCs w:val="21"/>
                      <w:u w:val="none"/>
                      <w:lang w:val="en-US" w:eastAsia="zh-CN" w:bidi="ar"/>
                    </w:rPr>
                    <w:t>16.9m</w:t>
                  </w:r>
                  <w:r>
                    <w:rPr>
                      <w:rFonts w:hint="eastAsia" w:cs="Times New Roman"/>
                      <w:i w:val="0"/>
                      <w:color w:val="auto"/>
                      <w:kern w:val="0"/>
                      <w:sz w:val="21"/>
                      <w:szCs w:val="21"/>
                      <w:u w:val="none"/>
                      <w:lang w:val="en-US" w:eastAsia="zh-CN" w:bidi="ar"/>
                    </w:rPr>
                    <w:t>，单层，轴线面积</w:t>
                  </w:r>
                  <w:r>
                    <w:rPr>
                      <w:rFonts w:hint="default" w:cs="Times New Roman"/>
                      <w:i w:val="0"/>
                      <w:color w:val="auto"/>
                      <w:kern w:val="0"/>
                      <w:sz w:val="21"/>
                      <w:szCs w:val="21"/>
                      <w:u w:val="none"/>
                      <w:lang w:val="en-US" w:eastAsia="zh-CN" w:bidi="ar"/>
                    </w:rPr>
                    <w:t>402m</w:t>
                  </w:r>
                  <w:r>
                    <w:rPr>
                      <w:rFonts w:hint="default" w:cs="Times New Roman"/>
                      <w:i w:val="0"/>
                      <w:color w:val="auto"/>
                      <w:kern w:val="0"/>
                      <w:sz w:val="21"/>
                      <w:szCs w:val="21"/>
                      <w:u w:val="none"/>
                      <w:vertAlign w:val="superscript"/>
                      <w:lang w:val="en-US" w:eastAsia="zh-CN" w:bidi="ar"/>
                    </w:rPr>
                    <w:t>2</w:t>
                  </w:r>
                  <w:r>
                    <w:rPr>
                      <w:rFonts w:hint="eastAsia" w:cs="Times New Roman"/>
                      <w:i w:val="0"/>
                      <w:color w:val="auto"/>
                      <w:kern w:val="0"/>
                      <w:sz w:val="21"/>
                      <w:szCs w:val="21"/>
                      <w:u w:val="none"/>
                      <w:lang w:val="en-US" w:eastAsia="zh-CN" w:bidi="ar"/>
                    </w:rPr>
                    <w:t xml:space="preserve">， </w:t>
                  </w: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运输工程</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废渣运入：废渣由车辆运输至厂内堆渣棚；</w:t>
                  </w:r>
                </w:p>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 xml:space="preserve">产品外运：大部分产品依托青拓物流 </w:t>
                  </w:r>
                  <w:r>
                    <w:rPr>
                      <w:rFonts w:hint="default" w:cs="Times New Roman"/>
                      <w:i w:val="0"/>
                      <w:color w:val="auto"/>
                      <w:kern w:val="0"/>
                      <w:sz w:val="21"/>
                      <w:szCs w:val="21"/>
                      <w:u w:val="none"/>
                      <w:lang w:val="en-US" w:eastAsia="zh-CN" w:bidi="ar"/>
                    </w:rPr>
                    <w:t>5#</w:t>
                  </w:r>
                  <w:r>
                    <w:rPr>
                      <w:rFonts w:hint="eastAsia" w:cs="Times New Roman"/>
                      <w:i w:val="0"/>
                      <w:color w:val="auto"/>
                      <w:kern w:val="0"/>
                      <w:sz w:val="21"/>
                      <w:szCs w:val="21"/>
                      <w:u w:val="none"/>
                      <w:lang w:val="en-US" w:eastAsia="zh-CN" w:bidi="ar"/>
                    </w:rPr>
                    <w:t>泊位外运，少量由汽车外运。</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环保工程</w:t>
                  </w: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废水处理系统</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本工程主要废水为生活污水和初期雨污水。生活污水采用地埋式化粪池处理，化粪池设计处理规模</w:t>
                  </w:r>
                  <w:r>
                    <w:rPr>
                      <w:rFonts w:hint="default" w:cs="Times New Roman"/>
                      <w:i w:val="0"/>
                      <w:color w:val="auto"/>
                      <w:kern w:val="0"/>
                      <w:sz w:val="21"/>
                      <w:szCs w:val="21"/>
                      <w:u w:val="none"/>
                      <w:lang w:val="en-US" w:eastAsia="zh-CN" w:bidi="ar"/>
                    </w:rPr>
                    <w:t>29m</w:t>
                  </w:r>
                  <w:r>
                    <w:rPr>
                      <w:rFonts w:hint="default" w:cs="Times New Roman"/>
                      <w:i w:val="0"/>
                      <w:color w:val="auto"/>
                      <w:kern w:val="0"/>
                      <w:sz w:val="21"/>
                      <w:szCs w:val="21"/>
                      <w:u w:val="none"/>
                      <w:vertAlign w:val="superscript"/>
                      <w:lang w:val="en-US" w:eastAsia="zh-CN" w:bidi="ar"/>
                    </w:rPr>
                    <w:t>3</w:t>
                  </w:r>
                  <w:r>
                    <w:rPr>
                      <w:rFonts w:hint="default" w:cs="Times New Roman"/>
                      <w:i w:val="0"/>
                      <w:color w:val="auto"/>
                      <w:kern w:val="0"/>
                      <w:sz w:val="21"/>
                      <w:szCs w:val="21"/>
                      <w:u w:val="none"/>
                      <w:lang w:val="en-US" w:eastAsia="zh-CN" w:bidi="ar"/>
                    </w:rPr>
                    <w:t xml:space="preserve"> /d</w:t>
                  </w:r>
                  <w:r>
                    <w:rPr>
                      <w:rFonts w:hint="eastAsia" w:cs="Times New Roman"/>
                      <w:i w:val="0"/>
                      <w:color w:val="auto"/>
                      <w:kern w:val="0"/>
                      <w:sz w:val="21"/>
                      <w:szCs w:val="21"/>
                      <w:u w:val="none"/>
                      <w:lang w:val="en-US" w:eastAsia="zh-CN" w:bidi="ar"/>
                    </w:rPr>
                    <w:t>；初期雨污水采用“沉淀</w:t>
                  </w:r>
                  <w:r>
                    <w:rPr>
                      <w:rFonts w:hint="default" w:cs="Times New Roman"/>
                      <w:i w:val="0"/>
                      <w:color w:val="auto"/>
                      <w:kern w:val="0"/>
                      <w:sz w:val="21"/>
                      <w:szCs w:val="21"/>
                      <w:u w:val="none"/>
                      <w:lang w:val="en-US" w:eastAsia="zh-CN" w:bidi="ar"/>
                    </w:rPr>
                    <w:t>+</w:t>
                  </w:r>
                  <w:r>
                    <w:rPr>
                      <w:rFonts w:hint="eastAsia" w:cs="Times New Roman"/>
                      <w:i w:val="0"/>
                      <w:color w:val="auto"/>
                      <w:kern w:val="0"/>
                      <w:sz w:val="21"/>
                      <w:szCs w:val="21"/>
                      <w:u w:val="none"/>
                      <w:lang w:val="en-US" w:eastAsia="zh-CN" w:bidi="ar"/>
                    </w:rPr>
                    <w:t>过滤”处理，企业建设了一座容积为</w:t>
                  </w:r>
                  <w:r>
                    <w:rPr>
                      <w:rFonts w:hint="default" w:cs="Times New Roman"/>
                      <w:i w:val="0"/>
                      <w:color w:val="auto"/>
                      <w:kern w:val="0"/>
                      <w:sz w:val="21"/>
                      <w:szCs w:val="21"/>
                      <w:u w:val="none"/>
                      <w:lang w:val="en-US" w:eastAsia="zh-CN" w:bidi="ar"/>
                    </w:rPr>
                    <w:t>480m</w:t>
                  </w:r>
                  <w:r>
                    <w:rPr>
                      <w:rFonts w:hint="default" w:cs="Times New Roman"/>
                      <w:i w:val="0"/>
                      <w:color w:val="auto"/>
                      <w:kern w:val="0"/>
                      <w:sz w:val="21"/>
                      <w:szCs w:val="21"/>
                      <w:u w:val="none"/>
                      <w:vertAlign w:val="superscript"/>
                      <w:lang w:val="en-US" w:eastAsia="zh-CN" w:bidi="ar"/>
                    </w:rPr>
                    <w:t>3</w:t>
                  </w:r>
                  <w:r>
                    <w:rPr>
                      <w:rFonts w:hint="eastAsia" w:cs="Times New Roman"/>
                      <w:i w:val="0"/>
                      <w:color w:val="auto"/>
                      <w:kern w:val="0"/>
                      <w:sz w:val="21"/>
                      <w:szCs w:val="21"/>
                      <w:u w:val="none"/>
                      <w:lang w:val="en-US" w:eastAsia="zh-CN" w:bidi="ar"/>
                    </w:rPr>
                    <w:t>的初期雨水池；分别处理后一并排入湾坞西污水处理厂统一处理。</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废气处理系统</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热风炉燃料燃烧废气与粉磨、输送工序产生的粉尘经低压长袋脉冲袋式布袋收尘器收集后通过35</w:t>
                  </w:r>
                  <w:r>
                    <w:rPr>
                      <w:rFonts w:hint="default" w:cs="Times New Roman"/>
                      <w:i w:val="0"/>
                      <w:color w:val="auto"/>
                      <w:kern w:val="0"/>
                      <w:sz w:val="21"/>
                      <w:szCs w:val="21"/>
                      <w:u w:val="none"/>
                      <w:lang w:val="en-US" w:eastAsia="zh-CN" w:bidi="ar"/>
                    </w:rPr>
                    <w:t>m</w:t>
                  </w:r>
                  <w:r>
                    <w:rPr>
                      <w:rFonts w:hint="eastAsia" w:cs="Times New Roman"/>
                      <w:i w:val="0"/>
                      <w:color w:val="auto"/>
                      <w:kern w:val="0"/>
                      <w:sz w:val="21"/>
                      <w:szCs w:val="21"/>
                      <w:u w:val="none"/>
                      <w:lang w:val="en-US" w:eastAsia="zh-CN" w:bidi="ar"/>
                    </w:rPr>
                    <w:t>高排气筒排放。</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排气筒高度由35</w:t>
                  </w:r>
                  <w:r>
                    <w:rPr>
                      <w:rFonts w:hint="default" w:cs="Times New Roman"/>
                      <w:i w:val="0"/>
                      <w:color w:val="auto"/>
                      <w:kern w:val="0"/>
                      <w:sz w:val="21"/>
                      <w:szCs w:val="21"/>
                      <w:u w:val="none"/>
                      <w:lang w:val="en-US" w:eastAsia="zh-CN" w:bidi="ar"/>
                    </w:rPr>
                    <w:t>m</w:t>
                  </w:r>
                  <w:r>
                    <w:rPr>
                      <w:rFonts w:hint="eastAsia" w:cs="Times New Roman"/>
                      <w:i w:val="0"/>
                      <w:color w:val="auto"/>
                      <w:kern w:val="0"/>
                      <w:sz w:val="21"/>
                      <w:szCs w:val="21"/>
                      <w:u w:val="none"/>
                      <w:lang w:val="en-US" w:eastAsia="zh-CN" w:bidi="ar"/>
                    </w:rPr>
                    <w:t>变为</w:t>
                  </w:r>
                  <w:r>
                    <w:rPr>
                      <w:rFonts w:hint="default" w:cs="Times New Roman"/>
                      <w:i w:val="0"/>
                      <w:color w:val="auto"/>
                      <w:kern w:val="0"/>
                      <w:sz w:val="21"/>
                      <w:szCs w:val="21"/>
                      <w:u w:val="none"/>
                      <w:lang w:val="en-US" w:eastAsia="zh-CN" w:bidi="ar"/>
                    </w:rPr>
                    <w:t>40m</w:t>
                  </w:r>
                  <w:r>
                    <w:rPr>
                      <w:rFonts w:hint="eastAsia" w:cs="Times New Roman"/>
                      <w:i w:val="0"/>
                      <w:color w:val="auto"/>
                      <w:kern w:val="0"/>
                      <w:sz w:val="21"/>
                      <w:szCs w:val="21"/>
                      <w:u w:val="none"/>
                      <w:lang w:val="en-US" w:eastAsia="zh-CN" w:bidi="ar"/>
                    </w:rPr>
                    <w:t xml:space="preserve">， </w:t>
                  </w: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固废处理系统</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员工生活垃圾经环卫部门统一收集处理；生物质燃料烧灰渣作为原料与废渣掺和处理后作为产品外售。</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both"/>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生物质燃料灰渣处置方式由外售改为自行利用，</w:t>
                  </w:r>
                  <w:r>
                    <w:rPr>
                      <w:rFonts w:hint="default" w:cs="Times New Roman"/>
                      <w:i w:val="0"/>
                      <w:color w:val="auto"/>
                      <w:kern w:val="0"/>
                      <w:sz w:val="21"/>
                      <w:szCs w:val="21"/>
                      <w:u w:val="none"/>
                      <w:lang w:val="en-US" w:eastAsia="zh-CN" w:bidi="ar"/>
                    </w:rPr>
                    <w:t>已建成运行</w:t>
                  </w:r>
                  <w:r>
                    <w:rPr>
                      <w:rFonts w:hint="eastAsia" w:cs="Times New Roman"/>
                      <w:i w:val="0"/>
                      <w:color w:val="auto"/>
                      <w:kern w:val="0"/>
                      <w:sz w:val="21"/>
                      <w:szCs w:val="21"/>
                      <w:u w:val="none"/>
                      <w:lang w:val="en-US" w:eastAsia="zh-CN" w:bidi="ar"/>
                    </w:rPr>
                    <w:t>。</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c>
                <w:tcPr>
                  <w:tcW w:w="687"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应急设施</w:t>
                  </w:r>
                </w:p>
              </w:tc>
              <w:tc>
                <w:tcPr>
                  <w:tcW w:w="2590"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建设容积为</w:t>
                  </w:r>
                  <w:r>
                    <w:rPr>
                      <w:rFonts w:hint="default" w:cs="Times New Roman"/>
                      <w:i w:val="0"/>
                      <w:color w:val="auto"/>
                      <w:kern w:val="0"/>
                      <w:sz w:val="21"/>
                      <w:szCs w:val="21"/>
                      <w:u w:val="none"/>
                      <w:lang w:val="en-US" w:eastAsia="zh-CN" w:bidi="ar"/>
                    </w:rPr>
                    <w:t>400m</w:t>
                  </w:r>
                  <w:r>
                    <w:rPr>
                      <w:rFonts w:hint="default" w:cs="Times New Roman"/>
                      <w:i w:val="0"/>
                      <w:color w:val="auto"/>
                      <w:kern w:val="0"/>
                      <w:sz w:val="21"/>
                      <w:szCs w:val="21"/>
                      <w:u w:val="none"/>
                      <w:vertAlign w:val="superscript"/>
                      <w:lang w:val="en-US" w:eastAsia="zh-CN" w:bidi="ar"/>
                    </w:rPr>
                    <w:t>3</w:t>
                  </w:r>
                  <w:r>
                    <w:rPr>
                      <w:rFonts w:hint="eastAsia" w:cs="Times New Roman"/>
                      <w:i w:val="0"/>
                      <w:color w:val="auto"/>
                      <w:kern w:val="0"/>
                      <w:sz w:val="21"/>
                      <w:szCs w:val="21"/>
                      <w:u w:val="none"/>
                      <w:lang w:val="en-US" w:eastAsia="zh-CN" w:bidi="ar"/>
                    </w:rPr>
                    <w:t>的事故应急池</w:t>
                  </w:r>
                </w:p>
              </w:tc>
              <w:tc>
                <w:tcPr>
                  <w:tcW w:w="981"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已建成运行</w:t>
                  </w:r>
                </w:p>
              </w:tc>
              <w:tc>
                <w:tcPr>
                  <w:tcW w:w="38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line="280" w:lineRule="exact"/>
                    <w:jc w:val="center"/>
                    <w:textAlignment w:val="center"/>
                    <w:rPr>
                      <w:rFonts w:hint="default" w:cs="Times New Roman"/>
                      <w:i w:val="0"/>
                      <w:color w:val="auto"/>
                      <w:kern w:val="0"/>
                      <w:sz w:val="21"/>
                      <w:szCs w:val="21"/>
                      <w:u w:val="none"/>
                      <w:lang w:val="en-US" w:eastAsia="zh-CN" w:bidi="ar"/>
                    </w:rPr>
                  </w:pPr>
                </w:p>
              </w:tc>
            </w:tr>
          </w:tbl>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建设内容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96"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pacing w:val="4"/>
                <w:kern w:val="0"/>
                <w:sz w:val="24"/>
                <w:szCs w:val="20"/>
                <w:highlight w:val="none"/>
                <w:lang w:val="en-US" w:eastAsia="zh-CN" w:bidi="ar-SA"/>
              </w:rPr>
              <w:t>福安市青拓环保建材有限公司已建成</w:t>
            </w:r>
            <w:r>
              <w:rPr>
                <w:rFonts w:hint="default" w:ascii="Times New Roman" w:hAnsi="Times New Roman" w:eastAsia="宋体" w:cs="Times New Roman"/>
                <w:color w:val="auto"/>
                <w:spacing w:val="4"/>
                <w:kern w:val="0"/>
                <w:sz w:val="24"/>
                <w:szCs w:val="20"/>
                <w:highlight w:val="none"/>
                <w:lang w:val="en-US" w:eastAsia="zh-CN" w:bidi="ar-SA"/>
              </w:rPr>
              <w:t>2</w:t>
            </w:r>
            <w:r>
              <w:rPr>
                <w:rFonts w:hint="eastAsia" w:ascii="Times New Roman" w:hAnsi="Times New Roman" w:eastAsia="宋体" w:cs="Times New Roman"/>
                <w:color w:val="auto"/>
                <w:spacing w:val="4"/>
                <w:kern w:val="0"/>
                <w:sz w:val="24"/>
                <w:szCs w:val="20"/>
                <w:highlight w:val="none"/>
                <w:lang w:val="en-US" w:eastAsia="zh-CN" w:bidi="ar-SA"/>
              </w:rPr>
              <w:t>条年处理量各</w:t>
            </w:r>
            <w:r>
              <w:rPr>
                <w:rFonts w:hint="default" w:ascii="Times New Roman" w:hAnsi="Times New Roman" w:eastAsia="宋体" w:cs="Times New Roman"/>
                <w:color w:val="auto"/>
                <w:spacing w:val="4"/>
                <w:kern w:val="0"/>
                <w:sz w:val="24"/>
                <w:szCs w:val="20"/>
                <w:highlight w:val="none"/>
                <w:lang w:val="en-US" w:eastAsia="zh-CN" w:bidi="ar-SA"/>
              </w:rPr>
              <w:t>150</w:t>
            </w:r>
            <w:r>
              <w:rPr>
                <w:rFonts w:hint="eastAsia" w:ascii="Times New Roman" w:hAnsi="Times New Roman" w:eastAsia="宋体" w:cs="Times New Roman"/>
                <w:color w:val="auto"/>
                <w:spacing w:val="4"/>
                <w:kern w:val="0"/>
                <w:sz w:val="24"/>
                <w:szCs w:val="20"/>
                <w:highlight w:val="none"/>
                <w:lang w:val="en-US" w:eastAsia="zh-CN" w:bidi="ar-SA"/>
              </w:rPr>
              <w:t>万吨的矿渣微粉生产线（</w:t>
            </w:r>
            <w:r>
              <w:rPr>
                <w:rFonts w:hint="default" w:ascii="Times New Roman" w:hAnsi="Times New Roman" w:eastAsia="宋体" w:cs="Times New Roman"/>
                <w:color w:val="auto"/>
                <w:spacing w:val="4"/>
                <w:kern w:val="0"/>
                <w:sz w:val="24"/>
                <w:szCs w:val="20"/>
                <w:highlight w:val="none"/>
                <w:lang w:val="en-US" w:eastAsia="zh-CN" w:bidi="ar-SA"/>
              </w:rPr>
              <w:t>年</w:t>
            </w:r>
            <w:r>
              <w:rPr>
                <w:rFonts w:hint="eastAsia" w:cs="Times New Roman"/>
                <w:color w:val="auto"/>
                <w:spacing w:val="4"/>
                <w:kern w:val="0"/>
                <w:sz w:val="24"/>
                <w:szCs w:val="20"/>
                <w:highlight w:val="none"/>
                <w:lang w:val="en-US" w:eastAsia="zh-CN" w:bidi="ar-SA"/>
              </w:rPr>
              <w:t>产</w:t>
            </w:r>
            <w:r>
              <w:rPr>
                <w:rFonts w:hint="default" w:ascii="Times New Roman" w:hAnsi="Times New Roman" w:eastAsia="宋体" w:cs="Times New Roman"/>
                <w:color w:val="auto"/>
                <w:spacing w:val="4"/>
                <w:kern w:val="0"/>
                <w:sz w:val="24"/>
                <w:szCs w:val="20"/>
                <w:highlight w:val="none"/>
                <w:lang w:val="en-US" w:eastAsia="zh-CN" w:bidi="ar-SA"/>
              </w:rPr>
              <w:t>300万吨矿渣微粉</w:t>
            </w:r>
            <w:r>
              <w:rPr>
                <w:rFonts w:hint="eastAsia" w:ascii="Times New Roman" w:hAnsi="Times New Roman" w:eastAsia="宋体" w:cs="Times New Roman"/>
                <w:color w:val="auto"/>
                <w:spacing w:val="4"/>
                <w:kern w:val="0"/>
                <w:sz w:val="24"/>
                <w:szCs w:val="20"/>
                <w:highlight w:val="none"/>
                <w:lang w:val="en-US" w:eastAsia="zh-CN" w:bidi="ar-SA"/>
              </w:rPr>
              <w:t>）及一条年生产150万吨的机制砂生产线。</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.3总平布置</w:t>
            </w:r>
          </w:p>
          <w:p>
            <w:pPr>
              <w:pStyle w:val="10"/>
              <w:adjustRightIn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公司</w:t>
            </w:r>
            <w:r>
              <w:rPr>
                <w:rFonts w:hint="default" w:ascii="Times New Roman" w:hAnsi="Times New Roman" w:cs="Times New Roman"/>
                <w:color w:val="auto"/>
                <w:sz w:val="24"/>
                <w:lang w:val="en-US" w:eastAsia="zh-CN"/>
              </w:rPr>
              <w:t>现有</w:t>
            </w:r>
            <w:r>
              <w:rPr>
                <w:rFonts w:hint="default" w:ascii="Times New Roman" w:hAnsi="Times New Roman" w:eastAsia="宋体" w:cs="Times New Roman"/>
                <w:color w:val="auto"/>
                <w:sz w:val="24"/>
                <w:lang w:val="en-US" w:eastAsia="zh-CN"/>
              </w:rPr>
              <w:t>工程厂区总平布置及雨污管网见附图</w:t>
            </w:r>
            <w:r>
              <w:rPr>
                <w:rFonts w:hint="eastAsia" w:cs="Times New Roman"/>
                <w:color w:val="auto"/>
                <w:sz w:val="24"/>
                <w:lang w:val="en-US" w:eastAsia="zh-CN"/>
              </w:rPr>
              <w:t>五</w:t>
            </w:r>
            <w:r>
              <w:rPr>
                <w:rFonts w:hint="default"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lang w:val="en-US" w:eastAsia="zh-CN"/>
              </w:rPr>
              <w:t>4</w:t>
            </w:r>
            <w:r>
              <w:rPr>
                <w:rFonts w:hint="default" w:ascii="Times New Roman" w:hAnsi="Times New Roman" w:eastAsia="宋体" w:cs="Times New Roman"/>
                <w:b/>
                <w:bCs/>
                <w:color w:val="auto"/>
                <w:sz w:val="28"/>
                <w:szCs w:val="28"/>
                <w:highlight w:val="none"/>
                <w:lang w:val="en-US" w:eastAsia="zh-CN"/>
              </w:rPr>
              <w:t>生产工艺流程</w:t>
            </w:r>
          </w:p>
          <w:p>
            <w:pPr>
              <w:pStyle w:val="41"/>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（一）矿渣微粉生产线</w:t>
            </w:r>
          </w:p>
          <w:p>
            <w:pPr>
              <w:pStyle w:val="41"/>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 w:val="0"/>
                <w:bCs/>
                <w:color w:val="auto"/>
                <w:sz w:val="24"/>
              </w:rPr>
            </w:pPr>
            <w:r>
              <w:rPr>
                <w:rFonts w:hint="default" w:ascii="Times New Roman" w:hAnsi="Times New Roman" w:eastAsia="宋体" w:cs="Times New Roman"/>
                <w:b w:val="0"/>
                <w:bCs/>
                <w:color w:val="auto"/>
                <w:sz w:val="24"/>
                <w:lang w:val="en-US" w:eastAsia="zh-CN"/>
              </w:rPr>
              <w:t>进料：外来的原料渣由汽车运</w:t>
            </w:r>
            <w:r>
              <w:rPr>
                <w:rFonts w:hint="default" w:ascii="Times New Roman" w:hAnsi="Times New Roman" w:cs="Times New Roman"/>
                <w:b w:val="0"/>
                <w:bCs/>
                <w:color w:val="auto"/>
                <w:sz w:val="24"/>
                <w:lang w:val="en-US" w:eastAsia="zh-CN"/>
              </w:rPr>
              <w:t xml:space="preserve">进厂内堆棚，采用轮式装载机倒运堆料。原料堆棚采用宽2×40m的大跨度条形钢结构堆棚，顶部带顶棚，四周围蔽。堆棚内的物料由轮式装载机送至缓冲上料斗，经定量给料机计量后，由胶带输送机经螺旋喂料机送入立磨系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立磨：原料渣从进料口落在磨盘中央，同时热风炉产生的热风从进风口进入磨内，电机通过减速机带动磨盘转动，投入立磨内的矿渣原料被磨辊在旋转的磨盘上挤压，随着磨盘的转动，物料在离心力的作用下，向磨盘边缘移动，经过磨盘上的环形区时受到磨辊的碾压而粉碎，粉碎后的物料在磨盘边缘被风环高速气流带起，经过位于立磨上部的选粉机分选后，大颗粒直接落到磨盘上重新粉磨，合格细粉随气流一起出磨，进入低压长袋脉冲袋式收尘器中收集，即为产品，含有水分的物料在热气流的接触过程中被烘干。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成品入库：由低压长袋脉冲袋式收尘器收集到的矿渣微粉成品经封闭的空气输送斜槽、斗式提升机送入成品库储存。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sz w:val="24"/>
                <w:szCs w:val="24"/>
                <w:lang w:val="en-US" w:eastAsia="zh-CN"/>
              </w:rPr>
              <w:t>公司现有工程矿渣微粉生产线成品为粉末状，为了得到最大的经济效益，在整个生产过程中均采用负压封闭模式运作，能有效防止矿渣粉的外泄逸散，具体工艺流程及产污环节见</w:t>
            </w:r>
            <w:r>
              <w:rPr>
                <w:rFonts w:hint="default" w:ascii="Times New Roman" w:hAnsi="Times New Roman" w:eastAsia="宋体" w:cs="Times New Roman"/>
                <w:sz w:val="24"/>
                <w:szCs w:val="24"/>
              </w:rPr>
              <w:t>图2.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1。</w:t>
            </w:r>
          </w:p>
          <w:p>
            <w:pPr>
              <w:pStyle w:val="11"/>
              <w:rPr>
                <w:rFonts w:hint="default"/>
              </w:rPr>
            </w:pPr>
          </w:p>
        </w:tc>
      </w:tr>
      <w:bookmarkEnd w:id="40"/>
    </w:tbl>
    <w:p>
      <w:pPr>
        <w:keepNext w:val="0"/>
        <w:keepLines w:val="0"/>
        <w:pageBreakBefore w:val="0"/>
        <w:widowControl/>
        <w:kinsoku/>
        <w:wordWrap/>
        <w:overflowPunct/>
        <w:topLinePunct w:val="0"/>
        <w:autoSpaceDE/>
        <w:autoSpaceDN/>
        <w:bidi w:val="0"/>
        <w:adjustRightInd/>
        <w:snapToGrid w:val="0"/>
        <w:spacing w:before="157" w:beforeLines="50" w:after="156" w:afterLines="50" w:line="240" w:lineRule="auto"/>
        <w:jc w:val="center"/>
        <w:textAlignment w:val="auto"/>
        <w:outlineLvl w:val="0"/>
        <w:rPr>
          <w:rFonts w:hint="eastAsia" w:ascii="Times New Roman" w:hAnsi="Times New Roman" w:eastAsia="黑体" w:cs="Times New Roman"/>
          <w:snapToGrid w:val="0"/>
          <w:color w:val="auto"/>
          <w:kern w:val="0"/>
          <w:sz w:val="30"/>
          <w:szCs w:val="30"/>
          <w:highlight w:val="none"/>
          <w:lang w:val="en-US" w:eastAsia="zh-CN"/>
        </w:rPr>
        <w:sectPr>
          <w:pgSz w:w="11907" w:h="16840"/>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p>
    <w:p>
      <w:pPr>
        <w:pStyle w:val="41"/>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2" w:firstLineChars="200"/>
        <w:jc w:val="both"/>
        <w:textAlignment w:val="auto"/>
        <w:outlineLvl w:val="9"/>
        <w:rPr>
          <w:rFonts w:hint="eastAsia"/>
          <w:lang w:eastAsia="zh-CN"/>
        </w:rPr>
      </w:pPr>
      <w:r>
        <w:rPr>
          <w:rFonts w:hint="eastAsia" w:eastAsia="宋体"/>
          <w:lang w:eastAsia="zh-CN"/>
        </w:rPr>
        <w:drawing>
          <wp:inline distT="0" distB="0" distL="114300" distR="114300">
            <wp:extent cx="8138160" cy="2147570"/>
            <wp:effectExtent l="0" t="0" r="15240" b="5080"/>
            <wp:docPr id="7" name="图片 7" descr="福安市青拓环保建材300吨固体废物综合利用项目竣工环境保护验收监测报告(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福安市青拓环保建材300吨固体废物综合利用项目竣工环境保护验收监测报告(2)_19"/>
                    <pic:cNvPicPr>
                      <a:picLocks noChangeAspect="1"/>
                    </pic:cNvPicPr>
                  </pic:nvPicPr>
                  <pic:blipFill>
                    <a:blip r:embed="rId15"/>
                    <a:srcRect t="9246" b="53437"/>
                    <a:stretch>
                      <a:fillRect/>
                    </a:stretch>
                  </pic:blipFill>
                  <pic:spPr>
                    <a:xfrm>
                      <a:off x="0" y="0"/>
                      <a:ext cx="8138160" cy="2147570"/>
                    </a:xfrm>
                    <a:prstGeom prst="rect">
                      <a:avLst/>
                    </a:prstGeom>
                  </pic:spPr>
                </pic:pic>
              </a:graphicData>
            </a:graphic>
          </wp:inline>
        </w:drawing>
      </w:r>
      <w:r>
        <w:rPr>
          <w:rFonts w:hint="eastAsia"/>
          <w:lang w:eastAsia="zh-CN"/>
        </w:rPr>
        <w:drawing>
          <wp:inline distT="0" distB="0" distL="114300" distR="114300">
            <wp:extent cx="8145780" cy="2575560"/>
            <wp:effectExtent l="0" t="0" r="7620" b="15240"/>
            <wp:docPr id="24" name="图片 24" descr="福安市青拓环保建材300吨固体废物综合利用项目竣工环境保护验收监测报告(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福安市青拓环保建材300吨固体废物综合利用项目竣工环境保护验收监测报告(2)_20"/>
                    <pic:cNvPicPr>
                      <a:picLocks noChangeAspect="1"/>
                    </pic:cNvPicPr>
                  </pic:nvPicPr>
                  <pic:blipFill>
                    <a:blip r:embed="rId16"/>
                    <a:srcRect l="7296" t="7580" r="7506" b="47666"/>
                    <a:stretch>
                      <a:fillRect/>
                    </a:stretch>
                  </pic:blipFill>
                  <pic:spPr>
                    <a:xfrm>
                      <a:off x="0" y="0"/>
                      <a:ext cx="8145780" cy="2575560"/>
                    </a:xfrm>
                    <a:prstGeom prst="rect">
                      <a:avLst/>
                    </a:prstGeom>
                  </pic:spPr>
                </pic:pic>
              </a:graphicData>
            </a:graphic>
          </wp:inline>
        </w:drawing>
      </w:r>
    </w:p>
    <w:p>
      <w:pPr>
        <w:pStyle w:val="43"/>
        <w:keepNext w:val="0"/>
        <w:keepLines w:val="0"/>
        <w:pageBreakBefore w:val="0"/>
        <w:widowControl w:val="0"/>
        <w:kinsoku/>
        <w:wordWrap/>
        <w:overflowPunct w:val="0"/>
        <w:topLinePunct w:val="0"/>
        <w:autoSpaceDE/>
        <w:autoSpaceDN/>
        <w:bidi w:val="0"/>
        <w:adjustRightInd w:val="0"/>
        <w:snapToGrid w:val="0"/>
        <w:ind w:left="431" w:hanging="431"/>
        <w:jc w:val="center"/>
        <w:textAlignment w:val="auto"/>
        <w:outlineLvl w:val="9"/>
        <w:rPr>
          <w:rFonts w:hint="eastAsia" w:ascii="Times New Roman" w:hAnsi="Times New Roman" w:cs="Times New Roman"/>
          <w:color w:val="auto"/>
          <w:kern w:val="2"/>
          <w:sz w:val="24"/>
          <w:szCs w:val="24"/>
          <w:lang w:val="en-US" w:eastAsia="zh-CN" w:bidi="ar-SA"/>
        </w:rPr>
        <w:sectPr>
          <w:pgSz w:w="16840"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r>
        <w:rPr>
          <w:rFonts w:hint="default" w:ascii="Times New Roman" w:hAnsi="Times New Roman" w:eastAsia="宋体" w:cs="Times New Roman"/>
          <w:b/>
          <w:bCs/>
          <w:color w:val="auto"/>
          <w:kern w:val="2"/>
          <w:sz w:val="24"/>
          <w:szCs w:val="24"/>
          <w:lang w:val="en-US" w:eastAsia="zh-CN" w:bidi="ar-SA"/>
        </w:rPr>
        <w:t>图2.</w:t>
      </w: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-1 矿渣微粉生产线生产工艺流程</w:t>
      </w:r>
      <w:r>
        <w:rPr>
          <w:rFonts w:hint="default" w:ascii="Times New Roman" w:hAnsi="Times New Roman" w:eastAsia="宋体" w:cs="Times New Roman"/>
          <w:b/>
          <w:bCs/>
          <w:color w:val="auto"/>
          <w:sz w:val="24"/>
          <w:szCs w:val="24"/>
          <w:lang w:val="en-US" w:eastAsia="zh-CN"/>
        </w:rPr>
        <w:t>及产污环节图</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Align w:val="center"/>
          </w:tcPr>
          <w:p>
            <w:pPr>
              <w:pStyle w:val="2"/>
              <w:jc w:val="center"/>
              <w:rPr>
                <w:rFonts w:hint="eastAsia"/>
                <w:vertAlign w:val="baseline"/>
                <w:lang w:val="en-US" w:eastAsia="zh-CN"/>
              </w:rPr>
            </w:pPr>
            <w:r>
              <w:rPr>
                <w:rFonts w:hint="eastAsia" w:ascii="Times New Roman" w:hAnsi="Times New Roman" w:eastAsia="宋体" w:cs="Times New Roman"/>
                <w:bCs/>
                <w:color w:val="auto"/>
                <w:kern w:val="0"/>
                <w:sz w:val="24"/>
                <w:szCs w:val="21"/>
                <w:highlight w:val="none"/>
                <w:lang w:val="en-US" w:eastAsia="zh-CN" w:bidi="ar-SA"/>
              </w:rPr>
              <w:t>与项目有关的原有环境污染问题</w:t>
            </w:r>
          </w:p>
        </w:tc>
        <w:tc>
          <w:tcPr>
            <w:tcW w:w="8844" w:type="dxa"/>
          </w:tcPr>
          <w:p>
            <w:pPr>
              <w:pStyle w:val="41"/>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（二）机制砂生产线</w:t>
            </w:r>
          </w:p>
          <w:p>
            <w:pPr>
              <w:pStyle w:val="41"/>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原料通过给料输送、破碎制砂、筛分等多道工序，生产机制砂，目前处于停用状态。</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lang w:val="en-US" w:eastAsia="zh-CN"/>
              </w:rPr>
              <w:t>工程污染物排放及达标情况</w:t>
            </w:r>
          </w:p>
          <w:p>
            <w:pPr>
              <w:pStyle w:val="41"/>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目前机制砂生产线处于停用状态，因此只对矿渣微粉生产线进行工程污染物排放及达标情况进行分析。</w:t>
            </w:r>
          </w:p>
          <w:p>
            <w:pPr>
              <w:pStyle w:val="73"/>
              <w:keepNext w:val="0"/>
              <w:keepLines w:val="0"/>
              <w:pageBreakBefore w:val="0"/>
              <w:widowControl/>
              <w:kinsoku/>
              <w:wordWrap w:val="0"/>
              <w:overflowPunct/>
              <w:topLinePunct/>
              <w:autoSpaceDE/>
              <w:autoSpaceDN/>
              <w:bidi w:val="0"/>
              <w:adjustRightInd w:val="0"/>
              <w:snapToGrid w:val="0"/>
              <w:spacing w:beforeLines="0" w:afterLines="0" w:line="360" w:lineRule="auto"/>
              <w:textAlignment w:val="auto"/>
              <w:outlineLvl w:val="3"/>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.5.1废气</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eastAsia" w:cs="Times New Roman"/>
                <w:color w:val="auto"/>
                <w:sz w:val="24"/>
                <w:highlight w:val="none"/>
                <w:lang w:val="en-US" w:eastAsia="zh-CN"/>
              </w:rPr>
            </w:pPr>
            <w:r>
              <w:rPr>
                <w:rFonts w:hint="default" w:ascii="Times New Roman" w:hAnsi="Times New Roman" w:eastAsia="宋体" w:cs="Times New Roman"/>
                <w:color w:val="auto"/>
                <w:spacing w:val="4"/>
                <w:kern w:val="0"/>
                <w:sz w:val="24"/>
                <w:highlight w:val="none"/>
                <w:lang w:val="en-US" w:eastAsia="zh-CN"/>
              </w:rPr>
              <w:t>公司</w:t>
            </w:r>
            <w:r>
              <w:rPr>
                <w:rFonts w:hint="default" w:ascii="Times New Roman" w:hAnsi="Times New Roman" w:cs="Times New Roman"/>
                <w:color w:val="auto"/>
                <w:spacing w:val="4"/>
                <w:kern w:val="0"/>
                <w:sz w:val="24"/>
                <w:highlight w:val="none"/>
                <w:lang w:val="en-US" w:eastAsia="zh-CN"/>
              </w:rPr>
              <w:t>现有</w:t>
            </w:r>
            <w:r>
              <w:rPr>
                <w:rFonts w:hint="default" w:ascii="Times New Roman" w:hAnsi="Times New Roman" w:eastAsia="宋体" w:cs="Times New Roman"/>
                <w:color w:val="auto"/>
                <w:spacing w:val="4"/>
                <w:kern w:val="0"/>
                <w:sz w:val="24"/>
                <w:highlight w:val="none"/>
                <w:lang w:val="en-US" w:eastAsia="zh-CN"/>
              </w:rPr>
              <w:t>工程</w:t>
            </w:r>
            <w:r>
              <w:rPr>
                <w:rFonts w:hint="eastAsia" w:cs="Times New Roman"/>
                <w:color w:val="auto"/>
                <w:spacing w:val="4"/>
                <w:kern w:val="0"/>
                <w:sz w:val="24"/>
                <w:highlight w:val="none"/>
                <w:lang w:val="en-US" w:eastAsia="zh-CN"/>
              </w:rPr>
              <w:t>有两条矿渣微粉生产线，</w:t>
            </w:r>
            <w:r>
              <w:rPr>
                <w:rFonts w:hint="default" w:ascii="Times New Roman" w:hAnsi="Times New Roman" w:eastAsia="宋体" w:cs="Times New Roman"/>
                <w:color w:val="auto"/>
                <w:spacing w:val="4"/>
                <w:kern w:val="0"/>
                <w:sz w:val="24"/>
                <w:highlight w:val="none"/>
                <w:lang w:val="en-US" w:eastAsia="zh-CN"/>
              </w:rPr>
              <w:t>有组织废气</w:t>
            </w:r>
            <w:r>
              <w:rPr>
                <w:rFonts w:hint="eastAsia" w:ascii="Times New Roman" w:hAnsi="Times New Roman" w:eastAsia="宋体" w:cs="Times New Roman"/>
                <w:color w:val="auto"/>
                <w:spacing w:val="4"/>
                <w:kern w:val="0"/>
                <w:sz w:val="24"/>
                <w:highlight w:val="none"/>
                <w:lang w:val="en-US" w:eastAsia="zh-CN"/>
              </w:rPr>
              <w:t>均</w:t>
            </w:r>
            <w:r>
              <w:rPr>
                <w:rFonts w:hint="default" w:ascii="Times New Roman" w:hAnsi="Times New Roman" w:cs="Times New Roman"/>
                <w:color w:val="auto"/>
                <w:sz w:val="24"/>
                <w:highlight w:val="none"/>
              </w:rPr>
              <w:t>为立磨系统排放的粉尘、生产线上各转接点产生的粉尘、生物质燃料燃烧尾气和余热废气</w:t>
            </w:r>
            <w:r>
              <w:rPr>
                <w:rFonts w:hint="eastAsia" w:ascii="Times New Roman" w:hAnsi="Times New Roman" w:cs="Times New Roman"/>
                <w:color w:val="auto"/>
                <w:sz w:val="24"/>
                <w:highlight w:val="none"/>
                <w:lang w:val="en-US" w:eastAsia="zh-CN"/>
              </w:rPr>
              <w:t>。</w:t>
            </w:r>
            <w:r>
              <w:rPr>
                <w:rFonts w:hint="eastAsia" w:cs="Times New Roman"/>
                <w:color w:val="auto"/>
                <w:spacing w:val="4"/>
                <w:kern w:val="0"/>
                <w:sz w:val="24"/>
                <w:highlight w:val="none"/>
                <w:lang w:val="en-US" w:eastAsia="zh-CN"/>
              </w:rPr>
              <w:t>每条生产线各有一根排气筒，分别为</w:t>
            </w:r>
            <w:r>
              <w:rPr>
                <w:rFonts w:hint="eastAsia" w:cs="Times New Roman"/>
                <w:color w:val="auto"/>
                <w:sz w:val="24"/>
                <w:highlight w:val="none"/>
                <w:lang w:val="en-US" w:eastAsia="zh-CN"/>
              </w:rPr>
              <w:t>1#立磨系统排气筒（DA001）和2#立磨系统排气筒（DA002）</w:t>
            </w:r>
            <w:r>
              <w:rPr>
                <w:rFonts w:hint="eastAsia" w:cs="Times New Roman"/>
                <w:color w:val="auto"/>
                <w:sz w:val="24"/>
                <w:highlight w:val="none"/>
                <w:lang w:eastAsia="zh-CN"/>
              </w:rPr>
              <w:t>；</w:t>
            </w:r>
            <w:r>
              <w:rPr>
                <w:rFonts w:hint="eastAsia" w:cs="Times New Roman"/>
                <w:color w:val="auto"/>
                <w:sz w:val="24"/>
                <w:highlight w:val="none"/>
                <w:lang w:val="en-US" w:eastAsia="zh-CN"/>
              </w:rPr>
              <w:t>无组织粉尘主要为立磨返料系统产生的粉尘、成品斜槽中部排气产生的粉尘、成品输送转载点(入库斗提机进料端)产生的粉尘、矿渣微粉库顶除尘器排放的粉尘及成品库底装车除尘器产生的粉尘、生物质燃料在燃料仓内卸料产生的粉尘、原料堆场扬尘等。</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s="Times New Roman"/>
                <w:color w:val="auto"/>
                <w:spacing w:val="4"/>
                <w:kern w:val="0"/>
                <w:sz w:val="24"/>
                <w:highlight w:val="none"/>
                <w:lang w:val="en-US" w:eastAsia="zh-CN"/>
              </w:rPr>
            </w:pPr>
            <w:r>
              <w:rPr>
                <w:rFonts w:hint="eastAsia" w:cs="Times New Roman"/>
                <w:color w:val="auto"/>
                <w:sz w:val="24"/>
                <w:highlight w:val="none"/>
                <w:lang w:val="en-US" w:eastAsia="zh-CN"/>
              </w:rPr>
              <w:t>1#立磨系统排气筒（DA001）</w:t>
            </w:r>
            <w:r>
              <w:rPr>
                <w:rFonts w:hint="eastAsia" w:ascii="Times New Roman" w:hAnsi="Times New Roman" w:eastAsia="宋体" w:cs="Times New Roman"/>
                <w:color w:val="auto"/>
                <w:spacing w:val="4"/>
                <w:kern w:val="0"/>
                <w:sz w:val="24"/>
                <w:highlight w:val="none"/>
                <w:lang w:val="en-US" w:eastAsia="zh-CN"/>
              </w:rPr>
              <w:t>废气主要为</w:t>
            </w:r>
            <w:r>
              <w:rPr>
                <w:rFonts w:hint="eastAsia" w:ascii="Times New Roman" w:hAnsi="Times New Roman" w:eastAsia="宋体" w:cs="Times New Roman"/>
                <w:color w:val="auto"/>
                <w:spacing w:val="4"/>
                <w:kern w:val="0"/>
                <w:sz w:val="24"/>
                <w:highlight w:val="none"/>
                <w:lang w:val="en-GB" w:eastAsia="zh-CN"/>
              </w:rPr>
              <w:t>余热尾气、生物质燃烧废气</w:t>
            </w:r>
            <w:r>
              <w:rPr>
                <w:rFonts w:hint="eastAsia" w:ascii="Times New Roman" w:hAnsi="Times New Roman" w:eastAsia="宋体" w:cs="Times New Roman"/>
                <w:color w:val="auto"/>
                <w:spacing w:val="4"/>
                <w:kern w:val="0"/>
                <w:sz w:val="24"/>
                <w:highlight w:val="none"/>
                <w:lang w:val="en-US" w:eastAsia="zh-CN"/>
              </w:rPr>
              <w:t>和立磨粉尘一起经过低压长袋脉冲袋式收尘器处理后通过一根40m高排气筒排放；</w:t>
            </w:r>
            <w:r>
              <w:rPr>
                <w:rFonts w:hint="eastAsia" w:cs="Times New Roman"/>
                <w:color w:val="auto"/>
                <w:sz w:val="24"/>
                <w:highlight w:val="none"/>
                <w:lang w:val="en-US" w:eastAsia="zh-CN"/>
              </w:rPr>
              <w:t>2#立磨系统排气筒（DA002）</w:t>
            </w:r>
            <w:r>
              <w:rPr>
                <w:rFonts w:hint="eastAsia" w:ascii="Times New Roman" w:hAnsi="Times New Roman" w:eastAsia="宋体" w:cs="Times New Roman"/>
                <w:color w:val="auto"/>
                <w:spacing w:val="4"/>
                <w:kern w:val="0"/>
                <w:sz w:val="24"/>
                <w:highlight w:val="none"/>
                <w:lang w:val="en-US" w:eastAsia="zh-CN"/>
              </w:rPr>
              <w:t>废气主要为</w:t>
            </w:r>
            <w:r>
              <w:rPr>
                <w:rFonts w:hint="eastAsia" w:ascii="Times New Roman" w:hAnsi="Times New Roman" w:eastAsia="宋体" w:cs="Times New Roman"/>
                <w:color w:val="auto"/>
                <w:spacing w:val="4"/>
                <w:kern w:val="0"/>
                <w:sz w:val="24"/>
                <w:highlight w:val="none"/>
                <w:lang w:val="en-GB" w:eastAsia="zh-CN"/>
              </w:rPr>
              <w:t>热风炉燃烧废气、</w:t>
            </w:r>
            <w:r>
              <w:rPr>
                <w:rFonts w:hint="eastAsia" w:ascii="Times New Roman" w:hAnsi="Times New Roman" w:eastAsia="宋体" w:cs="Times New Roman"/>
                <w:color w:val="auto"/>
                <w:spacing w:val="4"/>
                <w:kern w:val="0"/>
                <w:sz w:val="24"/>
                <w:highlight w:val="none"/>
                <w:lang w:val="en-US" w:eastAsia="zh-CN"/>
              </w:rPr>
              <w:t>立磨系统及各转载点粉尘一起经过低压长袋脉冲袋式收尘器处理后通过一根40m高排气筒排放。</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eastAsia" w:cs="Times New Roman"/>
                <w:color w:val="auto"/>
                <w:spacing w:val="4"/>
                <w:kern w:val="0"/>
                <w:sz w:val="24"/>
                <w:highlight w:val="none"/>
                <w:lang w:val="en-US" w:eastAsia="zh-CN"/>
              </w:rPr>
            </w:pPr>
            <w:r>
              <w:rPr>
                <w:rFonts w:hint="default" w:ascii="Times New Roman" w:hAnsi="Times New Roman" w:cs="Times New Roman"/>
                <w:color w:val="auto"/>
                <w:spacing w:val="4"/>
                <w:kern w:val="0"/>
                <w:sz w:val="24"/>
                <w:highlight w:val="none"/>
                <w:lang w:val="en-US" w:eastAsia="zh-CN"/>
              </w:rPr>
              <w:t>根据公司</w:t>
            </w:r>
            <w:r>
              <w:rPr>
                <w:rFonts w:hint="eastAsia" w:cs="Times New Roman"/>
                <w:color w:val="auto"/>
                <w:spacing w:val="4"/>
                <w:kern w:val="0"/>
                <w:sz w:val="24"/>
                <w:highlight w:val="none"/>
                <w:lang w:val="en-US" w:eastAsia="zh-CN"/>
              </w:rPr>
              <w:t>委托福建九五检测技术服务有限公司于2023年3月20日</w:t>
            </w:r>
            <w:r>
              <w:rPr>
                <w:rFonts w:hint="default" w:ascii="Times New Roman" w:hAnsi="Times New Roman" w:cs="Times New Roman"/>
                <w:color w:val="auto"/>
                <w:spacing w:val="4"/>
                <w:kern w:val="0"/>
                <w:sz w:val="24"/>
                <w:highlight w:val="none"/>
                <w:lang w:val="en-US" w:eastAsia="zh-CN"/>
              </w:rPr>
              <w:t>开展</w:t>
            </w:r>
            <w:r>
              <w:rPr>
                <w:rFonts w:hint="eastAsia" w:cs="Times New Roman"/>
                <w:color w:val="auto"/>
                <w:spacing w:val="4"/>
                <w:kern w:val="0"/>
                <w:sz w:val="24"/>
                <w:highlight w:val="none"/>
                <w:lang w:val="en-US" w:eastAsia="zh-CN"/>
              </w:rPr>
              <w:t>的自行</w:t>
            </w:r>
            <w:r>
              <w:rPr>
                <w:rFonts w:hint="default" w:ascii="Times New Roman" w:hAnsi="Times New Roman" w:cs="Times New Roman"/>
                <w:color w:val="auto"/>
                <w:spacing w:val="4"/>
                <w:kern w:val="0"/>
                <w:sz w:val="24"/>
                <w:highlight w:val="none"/>
                <w:lang w:val="en-US" w:eastAsia="zh-CN"/>
              </w:rPr>
              <w:t>监测报告</w:t>
            </w:r>
            <w:r>
              <w:rPr>
                <w:rFonts w:hint="eastAsia" w:cs="Times New Roman"/>
                <w:color w:val="auto"/>
                <w:spacing w:val="4"/>
                <w:kern w:val="0"/>
                <w:sz w:val="24"/>
                <w:highlight w:val="none"/>
                <w:lang w:val="en-US" w:eastAsia="zh-CN"/>
              </w:rPr>
              <w:t>（见附件八）。</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eastAsia" w:cs="Times New Roman"/>
                <w:color w:val="auto"/>
                <w:spacing w:val="4"/>
                <w:kern w:val="0"/>
                <w:sz w:val="24"/>
                <w:highlight w:val="none"/>
                <w:lang w:val="en-US" w:eastAsia="zh-CN"/>
              </w:rPr>
              <w:t>1#立磨系统</w:t>
            </w:r>
            <w:r>
              <w:rPr>
                <w:rFonts w:hint="default" w:ascii="Times New Roman" w:hAnsi="Times New Roman" w:eastAsia="宋体" w:cs="Times New Roman"/>
                <w:color w:val="auto"/>
                <w:spacing w:val="4"/>
                <w:kern w:val="0"/>
                <w:sz w:val="24"/>
                <w:highlight w:val="none"/>
                <w:lang w:val="en-US" w:eastAsia="zh-CN"/>
              </w:rPr>
              <w:t>排气筒出口颗粒物排放浓度</w:t>
            </w:r>
            <w:r>
              <w:rPr>
                <w:rFonts w:hint="eastAsia" w:cs="Times New Roman"/>
                <w:color w:val="auto"/>
                <w:spacing w:val="4"/>
                <w:kern w:val="0"/>
                <w:sz w:val="24"/>
                <w:highlight w:val="none"/>
                <w:lang w:val="en-US" w:eastAsia="zh-CN"/>
              </w:rPr>
              <w:t>在5.3~6.8</w:t>
            </w:r>
            <w:r>
              <w:rPr>
                <w:rFonts w:hint="default" w:ascii="Times New Roman" w:hAnsi="Times New Roman" w:eastAsia="宋体" w:cs="Times New Roman"/>
                <w:color w:val="auto"/>
                <w:spacing w:val="4"/>
                <w:kern w:val="0"/>
                <w:sz w:val="24"/>
                <w:highlight w:val="none"/>
                <w:lang w:val="en-US" w:eastAsia="zh-CN"/>
              </w:rPr>
              <w:t>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default" w:ascii="Times New Roman" w:hAnsi="Times New Roman" w:eastAsia="宋体" w:cs="Times New Roman"/>
                <w:color w:val="auto"/>
                <w:spacing w:val="4"/>
                <w:kern w:val="0"/>
                <w:sz w:val="24"/>
                <w:highlight w:val="none"/>
                <w:lang w:val="en-US" w:eastAsia="zh-CN"/>
              </w:rPr>
              <w:t>，平均放速率为</w:t>
            </w:r>
            <w:r>
              <w:rPr>
                <w:rFonts w:hint="eastAsia" w:cs="Times New Roman"/>
                <w:color w:val="auto"/>
                <w:spacing w:val="4"/>
                <w:kern w:val="0"/>
                <w:sz w:val="24"/>
                <w:highlight w:val="none"/>
                <w:lang w:val="en-US" w:eastAsia="zh-CN"/>
              </w:rPr>
              <w:t>1.5</w:t>
            </w:r>
            <w:r>
              <w:rPr>
                <w:rFonts w:hint="default" w:ascii="Times New Roman" w:hAnsi="Times New Roman" w:eastAsia="宋体" w:cs="Times New Roman"/>
                <w:color w:val="auto"/>
                <w:spacing w:val="4"/>
                <w:kern w:val="0"/>
                <w:sz w:val="24"/>
                <w:highlight w:val="none"/>
                <w:lang w:val="en-US" w:eastAsia="zh-CN"/>
              </w:rPr>
              <w:t>kg/h</w:t>
            </w:r>
            <w:r>
              <w:rPr>
                <w:rFonts w:hint="eastAsia" w:cs="Times New Roman"/>
                <w:color w:val="auto"/>
                <w:spacing w:val="4"/>
                <w:kern w:val="0"/>
                <w:sz w:val="24"/>
                <w:highlight w:val="none"/>
                <w:lang w:val="en-US" w:eastAsia="zh-CN"/>
              </w:rPr>
              <w:t>；2#立磨系统</w:t>
            </w:r>
            <w:r>
              <w:rPr>
                <w:rFonts w:hint="default" w:ascii="Times New Roman" w:hAnsi="Times New Roman" w:eastAsia="宋体" w:cs="Times New Roman"/>
                <w:color w:val="auto"/>
                <w:spacing w:val="4"/>
                <w:kern w:val="0"/>
                <w:sz w:val="24"/>
                <w:highlight w:val="none"/>
                <w:lang w:val="en-US" w:eastAsia="zh-CN"/>
              </w:rPr>
              <w:t>排气筒出口颗粒物排放浓度</w:t>
            </w:r>
            <w:r>
              <w:rPr>
                <w:rFonts w:hint="eastAsia" w:cs="Times New Roman"/>
                <w:color w:val="auto"/>
                <w:spacing w:val="4"/>
                <w:kern w:val="0"/>
                <w:sz w:val="24"/>
                <w:highlight w:val="none"/>
                <w:lang w:val="en-US" w:eastAsia="zh-CN"/>
              </w:rPr>
              <w:t>在13.2~15.6</w:t>
            </w:r>
            <w:r>
              <w:rPr>
                <w:rFonts w:hint="default" w:ascii="Times New Roman" w:hAnsi="Times New Roman" w:eastAsia="宋体" w:cs="Times New Roman"/>
                <w:color w:val="auto"/>
                <w:spacing w:val="4"/>
                <w:kern w:val="0"/>
                <w:sz w:val="24"/>
                <w:highlight w:val="none"/>
                <w:lang w:val="en-US" w:eastAsia="zh-CN"/>
              </w:rPr>
              <w:t>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default" w:ascii="Times New Roman" w:hAnsi="Times New Roman" w:eastAsia="宋体" w:cs="Times New Roman"/>
                <w:color w:val="auto"/>
                <w:spacing w:val="4"/>
                <w:kern w:val="0"/>
                <w:sz w:val="24"/>
                <w:highlight w:val="none"/>
                <w:lang w:val="en-US" w:eastAsia="zh-CN"/>
              </w:rPr>
              <w:t>，平均放速率为</w:t>
            </w:r>
            <w:r>
              <w:rPr>
                <w:rFonts w:hint="eastAsia" w:cs="Times New Roman"/>
                <w:color w:val="auto"/>
                <w:spacing w:val="4"/>
                <w:kern w:val="0"/>
                <w:sz w:val="24"/>
                <w:highlight w:val="none"/>
                <w:lang w:val="en-US" w:eastAsia="zh-CN"/>
              </w:rPr>
              <w:t>2.32</w:t>
            </w:r>
            <w:r>
              <w:rPr>
                <w:rFonts w:hint="default" w:ascii="Times New Roman" w:hAnsi="Times New Roman" w:eastAsia="宋体" w:cs="Times New Roman"/>
                <w:color w:val="auto"/>
                <w:spacing w:val="4"/>
                <w:kern w:val="0"/>
                <w:sz w:val="24"/>
                <w:highlight w:val="none"/>
                <w:lang w:val="en-US" w:eastAsia="zh-CN"/>
              </w:rPr>
              <w:t>kg/h</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符合《大气污染物综合排放标准》（GB16297-1996）表2新污染源大气污染物排放限值</w:t>
            </w:r>
            <w:r>
              <w:rPr>
                <w:rFonts w:hint="eastAsia" w:cs="Times New Roman"/>
                <w:color w:val="auto"/>
                <w:spacing w:val="4"/>
                <w:kern w:val="0"/>
                <w:sz w:val="24"/>
                <w:highlight w:val="none"/>
                <w:lang w:val="en-US" w:eastAsia="zh-CN"/>
              </w:rPr>
              <w:t>（</w:t>
            </w:r>
            <w:r>
              <w:rPr>
                <w:rFonts w:hint="eastAsia" w:ascii="Times New Roman" w:hAnsi="Times New Roman" w:eastAsia="宋体" w:cs="Times New Roman"/>
                <w:color w:val="auto"/>
                <w:spacing w:val="4"/>
                <w:kern w:val="0"/>
                <w:sz w:val="24"/>
                <w:highlight w:val="none"/>
                <w:lang w:val="en-US" w:eastAsia="zh-CN"/>
              </w:rPr>
              <w:t>颗粒物</w:t>
            </w:r>
            <w:r>
              <w:rPr>
                <w:rFonts w:hint="default" w:ascii="Times New Roman" w:hAnsi="Times New Roman" w:eastAsia="宋体" w:cs="Times New Roman"/>
                <w:color w:val="auto"/>
                <w:spacing w:val="4"/>
                <w:kern w:val="0"/>
                <w:sz w:val="24"/>
                <w:highlight w:val="none"/>
                <w:lang w:val="en-US" w:eastAsia="zh-CN"/>
              </w:rPr>
              <w:t>≤1</w:t>
            </w:r>
            <w:r>
              <w:rPr>
                <w:rFonts w:hint="eastAsia" w:ascii="Times New Roman" w:hAnsi="Times New Roman" w:eastAsia="宋体" w:cs="Times New Roman"/>
                <w:color w:val="auto"/>
                <w:spacing w:val="4"/>
                <w:kern w:val="0"/>
                <w:sz w:val="24"/>
                <w:highlight w:val="none"/>
                <w:lang w:val="en-US" w:eastAsia="zh-CN"/>
              </w:rPr>
              <w:t>2</w:t>
            </w:r>
            <w:r>
              <w:rPr>
                <w:rFonts w:hint="default" w:ascii="Times New Roman" w:hAnsi="Times New Roman" w:eastAsia="宋体" w:cs="Times New Roman"/>
                <w:color w:val="auto"/>
                <w:spacing w:val="4"/>
                <w:kern w:val="0"/>
                <w:sz w:val="24"/>
                <w:highlight w:val="none"/>
                <w:lang w:val="en-US" w:eastAsia="zh-CN"/>
              </w:rPr>
              <w:t>0 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default" w:ascii="Times New Roman" w:hAnsi="Times New Roman" w:eastAsia="宋体" w:cs="Times New Roman"/>
                <w:color w:val="auto"/>
                <w:spacing w:val="4"/>
                <w:kern w:val="0"/>
                <w:sz w:val="24"/>
                <w:highlight w:val="none"/>
                <w:lang w:val="en-US" w:eastAsia="zh-CN"/>
              </w:rPr>
              <w:t>，</w:t>
            </w:r>
            <w:r>
              <w:rPr>
                <w:rFonts w:hint="eastAsia" w:ascii="Times New Roman" w:hAnsi="Times New Roman" w:eastAsia="宋体" w:cs="Times New Roman"/>
                <w:color w:val="auto"/>
                <w:spacing w:val="4"/>
                <w:kern w:val="0"/>
                <w:sz w:val="24"/>
                <w:highlight w:val="none"/>
                <w:lang w:val="en-US" w:eastAsia="zh-CN"/>
              </w:rPr>
              <w:t>40</w:t>
            </w:r>
            <w:r>
              <w:rPr>
                <w:rFonts w:hint="default" w:ascii="Times New Roman" w:hAnsi="Times New Roman" w:eastAsia="宋体" w:cs="Times New Roman"/>
                <w:color w:val="auto"/>
                <w:spacing w:val="4"/>
                <w:kern w:val="0"/>
                <w:sz w:val="24"/>
                <w:highlight w:val="none"/>
                <w:lang w:val="en-US" w:eastAsia="zh-CN"/>
              </w:rPr>
              <w:t>m排气筒排放速率≤3</w:t>
            </w:r>
            <w:r>
              <w:rPr>
                <w:rFonts w:hint="eastAsia" w:ascii="Times New Roman" w:hAnsi="Times New Roman" w:eastAsia="宋体" w:cs="Times New Roman"/>
                <w:color w:val="auto"/>
                <w:spacing w:val="4"/>
                <w:kern w:val="0"/>
                <w:sz w:val="24"/>
                <w:highlight w:val="none"/>
                <w:lang w:val="en-US" w:eastAsia="zh-CN"/>
              </w:rPr>
              <w:t>9</w:t>
            </w:r>
            <w:r>
              <w:rPr>
                <w:rFonts w:hint="default" w:ascii="Times New Roman" w:hAnsi="Times New Roman" w:eastAsia="宋体" w:cs="Times New Roman"/>
                <w:color w:val="auto"/>
                <w:spacing w:val="4"/>
                <w:kern w:val="0"/>
                <w:sz w:val="24"/>
                <w:highlight w:val="none"/>
                <w:lang w:val="en-US" w:eastAsia="zh-CN"/>
              </w:rPr>
              <w:t>kg/h</w:t>
            </w:r>
            <w:r>
              <w:rPr>
                <w:rFonts w:hint="eastAsia" w:cs="Times New Roman"/>
                <w:color w:val="auto"/>
                <w:spacing w:val="4"/>
                <w:kern w:val="0"/>
                <w:sz w:val="24"/>
                <w:highlight w:val="none"/>
                <w:lang w:val="en-US" w:eastAsia="zh-CN"/>
              </w:rPr>
              <w:t>）</w:t>
            </w:r>
            <w:r>
              <w:rPr>
                <w:rFonts w:hint="eastAsia" w:ascii="Times New Roman" w:hAnsi="Times New Roman" w:eastAsia="宋体" w:cs="Times New Roman"/>
                <w:color w:val="auto"/>
                <w:spacing w:val="4"/>
                <w:kern w:val="0"/>
                <w:sz w:val="24"/>
                <w:highlight w:val="none"/>
                <w:lang w:val="en-US" w:eastAsia="zh-CN"/>
              </w:rPr>
              <w:t>。</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auto"/>
                <w:spacing w:val="4"/>
                <w:kern w:val="0"/>
                <w:sz w:val="24"/>
                <w:highlight w:val="none"/>
                <w:lang w:val="en-US" w:eastAsia="zh-CN"/>
              </w:rPr>
            </w:pPr>
            <w:r>
              <w:rPr>
                <w:rFonts w:hint="eastAsia" w:cs="Times New Roman"/>
                <w:color w:val="auto"/>
                <w:spacing w:val="4"/>
                <w:kern w:val="0"/>
                <w:sz w:val="24"/>
                <w:highlight w:val="none"/>
                <w:lang w:val="en-US" w:eastAsia="zh-CN"/>
              </w:rPr>
              <w:t>1#立磨系统</w:t>
            </w:r>
            <w:r>
              <w:rPr>
                <w:rFonts w:hint="default" w:ascii="Times New Roman" w:hAnsi="Times New Roman" w:eastAsia="宋体" w:cs="Times New Roman"/>
                <w:color w:val="auto"/>
                <w:spacing w:val="4"/>
                <w:kern w:val="0"/>
                <w:sz w:val="24"/>
                <w:highlight w:val="none"/>
                <w:lang w:val="en-US" w:eastAsia="zh-CN"/>
              </w:rPr>
              <w:t>排气筒出口</w:t>
            </w:r>
            <w:r>
              <w:rPr>
                <w:rFonts w:hint="eastAsia" w:cs="Times New Roman"/>
                <w:color w:val="auto"/>
                <w:spacing w:val="4"/>
                <w:kern w:val="0"/>
                <w:sz w:val="24"/>
                <w:highlight w:val="none"/>
                <w:lang w:val="en-US" w:eastAsia="zh-CN"/>
              </w:rPr>
              <w:t>和2#立磨系统</w:t>
            </w:r>
            <w:r>
              <w:rPr>
                <w:rFonts w:hint="default" w:ascii="Times New Roman" w:hAnsi="Times New Roman" w:eastAsia="宋体" w:cs="Times New Roman"/>
                <w:color w:val="auto"/>
                <w:spacing w:val="4"/>
                <w:kern w:val="0"/>
                <w:sz w:val="24"/>
                <w:highlight w:val="none"/>
                <w:lang w:val="en-US" w:eastAsia="zh-CN"/>
              </w:rPr>
              <w:t>排气筒出口SO</w:t>
            </w:r>
            <w:r>
              <w:rPr>
                <w:rFonts w:hint="default" w:ascii="Times New Roman" w:hAnsi="Times New Roman" w:eastAsia="宋体" w:cs="Times New Roman"/>
                <w:color w:val="auto"/>
                <w:spacing w:val="4"/>
                <w:kern w:val="0"/>
                <w:sz w:val="24"/>
                <w:highlight w:val="none"/>
                <w:vertAlign w:val="subscript"/>
                <w:lang w:val="en-US" w:eastAsia="zh-CN"/>
              </w:rPr>
              <w:t>2</w:t>
            </w:r>
            <w:r>
              <w:rPr>
                <w:rFonts w:hint="default" w:ascii="Times New Roman" w:hAnsi="Times New Roman" w:eastAsia="宋体" w:cs="Times New Roman"/>
                <w:color w:val="auto"/>
                <w:spacing w:val="4"/>
                <w:kern w:val="0"/>
                <w:sz w:val="24"/>
                <w:highlight w:val="none"/>
                <w:lang w:val="en-US" w:eastAsia="zh-CN"/>
              </w:rPr>
              <w:t>排放浓度</w:t>
            </w:r>
            <w:r>
              <w:rPr>
                <w:rFonts w:hint="eastAsia" w:cs="Times New Roman"/>
                <w:color w:val="auto"/>
                <w:spacing w:val="4"/>
                <w:kern w:val="0"/>
                <w:sz w:val="24"/>
                <w:highlight w:val="none"/>
                <w:lang w:val="en-US" w:eastAsia="zh-CN"/>
              </w:rPr>
              <w:t>均小于3</w:t>
            </w:r>
            <w:r>
              <w:rPr>
                <w:rFonts w:hint="default" w:ascii="Times New Roman" w:hAnsi="Times New Roman" w:eastAsia="宋体" w:cs="Times New Roman"/>
                <w:color w:val="auto"/>
                <w:spacing w:val="4"/>
                <w:kern w:val="0"/>
                <w:sz w:val="24"/>
                <w:highlight w:val="none"/>
                <w:lang w:val="en-US" w:eastAsia="zh-CN"/>
              </w:rPr>
              <w:t>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default" w:ascii="Times New Roman" w:hAnsi="Times New Roman" w:eastAsia="宋体" w:cs="Times New Roman"/>
                <w:color w:val="auto"/>
                <w:spacing w:val="4"/>
                <w:kern w:val="0"/>
                <w:sz w:val="24"/>
                <w:highlight w:val="none"/>
                <w:lang w:val="en-US" w:eastAsia="zh-CN"/>
              </w:rPr>
              <w:t>，</w:t>
            </w:r>
            <w:r>
              <w:rPr>
                <w:rFonts w:hint="eastAsia" w:cs="Times New Roman"/>
                <w:color w:val="auto"/>
                <w:spacing w:val="4"/>
                <w:kern w:val="0"/>
                <w:sz w:val="24"/>
                <w:highlight w:val="none"/>
                <w:lang w:val="en-US" w:eastAsia="zh-CN"/>
              </w:rPr>
              <w:t>1#立磨系统</w:t>
            </w:r>
            <w:r>
              <w:rPr>
                <w:rFonts w:hint="default" w:ascii="Times New Roman" w:hAnsi="Times New Roman" w:eastAsia="宋体" w:cs="Times New Roman"/>
                <w:color w:val="auto"/>
                <w:spacing w:val="4"/>
                <w:kern w:val="0"/>
                <w:sz w:val="24"/>
                <w:highlight w:val="none"/>
                <w:lang w:val="en-US" w:eastAsia="zh-CN"/>
              </w:rPr>
              <w:t>排气筒出口NO</w:t>
            </w:r>
            <w:r>
              <w:rPr>
                <w:rFonts w:hint="default" w:ascii="Times New Roman" w:hAnsi="Times New Roman" w:eastAsia="宋体" w:cs="Times New Roman"/>
                <w:color w:val="auto"/>
                <w:spacing w:val="4"/>
                <w:kern w:val="0"/>
                <w:sz w:val="24"/>
                <w:highlight w:val="none"/>
                <w:vertAlign w:val="subscript"/>
                <w:lang w:val="en-US" w:eastAsia="zh-CN"/>
              </w:rPr>
              <w:t>X</w:t>
            </w:r>
            <w:r>
              <w:rPr>
                <w:rFonts w:hint="default" w:ascii="Times New Roman" w:hAnsi="Times New Roman" w:eastAsia="宋体" w:cs="Times New Roman"/>
                <w:color w:val="auto"/>
                <w:spacing w:val="4"/>
                <w:kern w:val="0"/>
                <w:sz w:val="24"/>
                <w:highlight w:val="none"/>
                <w:lang w:val="en-US" w:eastAsia="zh-CN"/>
              </w:rPr>
              <w:t>排放浓度</w:t>
            </w:r>
            <w:r>
              <w:rPr>
                <w:rFonts w:hint="eastAsia" w:cs="Times New Roman"/>
                <w:color w:val="auto"/>
                <w:spacing w:val="4"/>
                <w:kern w:val="0"/>
                <w:sz w:val="24"/>
                <w:highlight w:val="none"/>
                <w:lang w:val="en-US" w:eastAsia="zh-CN"/>
              </w:rPr>
              <w:t>在71~78</w:t>
            </w:r>
            <w:r>
              <w:rPr>
                <w:rFonts w:hint="default" w:ascii="Times New Roman" w:hAnsi="Times New Roman" w:eastAsia="宋体" w:cs="Times New Roman"/>
                <w:color w:val="auto"/>
                <w:spacing w:val="4"/>
                <w:kern w:val="0"/>
                <w:sz w:val="24"/>
                <w:highlight w:val="none"/>
                <w:lang w:val="en-US" w:eastAsia="zh-CN"/>
              </w:rPr>
              <w:t>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default" w:ascii="Times New Roman" w:hAnsi="Times New Roman" w:eastAsia="宋体" w:cs="Times New Roman"/>
                <w:color w:val="auto"/>
                <w:spacing w:val="4"/>
                <w:kern w:val="0"/>
                <w:sz w:val="24"/>
                <w:highlight w:val="none"/>
                <w:lang w:val="en-US" w:eastAsia="zh-CN"/>
              </w:rPr>
              <w:t>，</w:t>
            </w:r>
            <w:r>
              <w:rPr>
                <w:rFonts w:hint="eastAsia" w:cs="Times New Roman"/>
                <w:color w:val="auto"/>
                <w:spacing w:val="4"/>
                <w:kern w:val="0"/>
                <w:sz w:val="24"/>
                <w:highlight w:val="none"/>
                <w:lang w:val="en-US" w:eastAsia="zh-CN"/>
              </w:rPr>
              <w:t>2#立磨系统</w:t>
            </w:r>
            <w:r>
              <w:rPr>
                <w:rFonts w:hint="default" w:ascii="Times New Roman" w:hAnsi="Times New Roman" w:eastAsia="宋体" w:cs="Times New Roman"/>
                <w:color w:val="auto"/>
                <w:spacing w:val="4"/>
                <w:kern w:val="0"/>
                <w:sz w:val="24"/>
                <w:highlight w:val="none"/>
                <w:lang w:val="en-US" w:eastAsia="zh-CN"/>
              </w:rPr>
              <w:t>排气筒出口NO</w:t>
            </w:r>
            <w:r>
              <w:rPr>
                <w:rFonts w:hint="default" w:ascii="Times New Roman" w:hAnsi="Times New Roman" w:eastAsia="宋体" w:cs="Times New Roman"/>
                <w:color w:val="auto"/>
                <w:spacing w:val="4"/>
                <w:kern w:val="0"/>
                <w:sz w:val="24"/>
                <w:highlight w:val="none"/>
                <w:vertAlign w:val="subscript"/>
                <w:lang w:val="en-US" w:eastAsia="zh-CN"/>
              </w:rPr>
              <w:t>X</w:t>
            </w:r>
            <w:r>
              <w:rPr>
                <w:rFonts w:hint="default" w:ascii="Times New Roman" w:hAnsi="Times New Roman" w:eastAsia="宋体" w:cs="Times New Roman"/>
                <w:color w:val="auto"/>
                <w:spacing w:val="4"/>
                <w:kern w:val="0"/>
                <w:sz w:val="24"/>
                <w:highlight w:val="none"/>
                <w:lang w:val="en-US" w:eastAsia="zh-CN"/>
              </w:rPr>
              <w:t>排放浓度</w:t>
            </w:r>
            <w:r>
              <w:rPr>
                <w:rFonts w:hint="eastAsia" w:cs="Times New Roman"/>
                <w:color w:val="auto"/>
                <w:spacing w:val="4"/>
                <w:kern w:val="0"/>
                <w:sz w:val="24"/>
                <w:highlight w:val="none"/>
                <w:lang w:val="en-US" w:eastAsia="zh-CN"/>
              </w:rPr>
              <w:t>在14~19</w:t>
            </w:r>
            <w:r>
              <w:rPr>
                <w:rFonts w:hint="default" w:ascii="Times New Roman" w:hAnsi="Times New Roman" w:eastAsia="宋体" w:cs="Times New Roman"/>
                <w:color w:val="auto"/>
                <w:spacing w:val="4"/>
                <w:kern w:val="0"/>
                <w:sz w:val="24"/>
                <w:highlight w:val="none"/>
                <w:lang w:val="en-US" w:eastAsia="zh-CN"/>
              </w:rPr>
              <w:t>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default" w:ascii="Times New Roman" w:hAnsi="Times New Roman" w:eastAsia="宋体" w:cs="Times New Roman"/>
                <w:color w:val="auto"/>
                <w:spacing w:val="4"/>
                <w:kern w:val="0"/>
                <w:sz w:val="24"/>
                <w:highlight w:val="none"/>
                <w:lang w:val="en-US" w:eastAsia="zh-CN"/>
              </w:rPr>
              <w:t>，符合《轧钢工业大气污染物排放标准》（GB28665-2012）中表2规定的排放浓度限值</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SO</w:t>
            </w:r>
            <w:r>
              <w:rPr>
                <w:rFonts w:hint="default" w:ascii="Times New Roman" w:hAnsi="Times New Roman" w:eastAsia="宋体" w:cs="Times New Roman"/>
                <w:color w:val="auto"/>
                <w:spacing w:val="4"/>
                <w:kern w:val="0"/>
                <w:sz w:val="24"/>
                <w:highlight w:val="none"/>
                <w:vertAlign w:val="subscript"/>
                <w:lang w:val="en-US" w:eastAsia="zh-CN"/>
              </w:rPr>
              <w:t>2</w:t>
            </w:r>
            <w:r>
              <w:rPr>
                <w:rFonts w:hint="default" w:ascii="Times New Roman" w:hAnsi="Times New Roman" w:eastAsia="宋体" w:cs="Times New Roman"/>
                <w:color w:val="auto"/>
                <w:spacing w:val="4"/>
                <w:kern w:val="0"/>
                <w:sz w:val="24"/>
                <w:highlight w:val="none"/>
                <w:lang w:val="en-US" w:eastAsia="zh-CN"/>
              </w:rPr>
              <w:t>≤150 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default" w:ascii="Times New Roman" w:hAnsi="Times New Roman" w:eastAsia="宋体" w:cs="Times New Roman"/>
                <w:color w:val="auto"/>
                <w:spacing w:val="4"/>
                <w:kern w:val="0"/>
                <w:sz w:val="24"/>
                <w:highlight w:val="none"/>
                <w:lang w:val="en-US" w:eastAsia="zh-CN"/>
              </w:rPr>
              <w:t>、NO</w:t>
            </w:r>
            <w:r>
              <w:rPr>
                <w:rFonts w:hint="default" w:ascii="Times New Roman" w:hAnsi="Times New Roman" w:eastAsia="宋体" w:cs="Times New Roman"/>
                <w:color w:val="auto"/>
                <w:spacing w:val="4"/>
                <w:kern w:val="0"/>
                <w:sz w:val="24"/>
                <w:highlight w:val="none"/>
                <w:vertAlign w:val="subscript"/>
                <w:lang w:val="en-US" w:eastAsia="zh-CN"/>
              </w:rPr>
              <w:t>X</w:t>
            </w:r>
            <w:r>
              <w:rPr>
                <w:rFonts w:hint="default" w:ascii="Times New Roman" w:hAnsi="Times New Roman" w:eastAsia="宋体" w:cs="Times New Roman"/>
                <w:color w:val="auto"/>
                <w:spacing w:val="4"/>
                <w:kern w:val="0"/>
                <w:sz w:val="24"/>
                <w:highlight w:val="none"/>
                <w:lang w:val="en-US" w:eastAsia="zh-CN"/>
              </w:rPr>
              <w:t>≤300 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pacing w:val="4"/>
                <w:kern w:val="0"/>
                <w:sz w:val="24"/>
                <w:highlight w:val="none"/>
                <w:lang w:val="en-US" w:eastAsia="zh-CN"/>
              </w:rPr>
              <w:t>厂界无组织排放监控点颗粒物最大监测浓度值分别为0.</w:t>
            </w:r>
            <w:r>
              <w:rPr>
                <w:rFonts w:hint="eastAsia" w:cs="Times New Roman"/>
                <w:color w:val="auto"/>
                <w:spacing w:val="4"/>
                <w:kern w:val="0"/>
                <w:sz w:val="24"/>
                <w:highlight w:val="none"/>
                <w:lang w:val="en-US" w:eastAsia="zh-CN"/>
              </w:rPr>
              <w:t>3</w:t>
            </w:r>
            <w:r>
              <w:rPr>
                <w:rFonts w:hint="default" w:ascii="Times New Roman" w:hAnsi="Times New Roman" w:eastAsia="宋体" w:cs="Times New Roman"/>
                <w:color w:val="auto"/>
                <w:spacing w:val="4"/>
                <w:kern w:val="0"/>
                <w:sz w:val="24"/>
                <w:highlight w:val="none"/>
                <w:lang w:val="en-US" w:eastAsia="zh-CN"/>
              </w:rPr>
              <w:t>2</w:t>
            </w:r>
            <w:r>
              <w:rPr>
                <w:rFonts w:hint="eastAsia" w:cs="Times New Roman"/>
                <w:color w:val="auto"/>
                <w:spacing w:val="4"/>
                <w:kern w:val="0"/>
                <w:sz w:val="24"/>
                <w:highlight w:val="none"/>
                <w:lang w:val="en-US" w:eastAsia="zh-CN"/>
              </w:rPr>
              <w:t>0</w:t>
            </w:r>
            <w:r>
              <w:rPr>
                <w:rFonts w:hint="default" w:ascii="Times New Roman" w:hAnsi="Times New Roman" w:eastAsia="宋体" w:cs="Times New Roman"/>
                <w:color w:val="auto"/>
                <w:spacing w:val="4"/>
                <w:kern w:val="0"/>
                <w:sz w:val="24"/>
                <w:highlight w:val="none"/>
                <w:lang w:val="en-US" w:eastAsia="zh-CN"/>
              </w:rPr>
              <w:t>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eastAsia"/>
                <w:color w:val="auto"/>
                <w:lang w:eastAsia="zh-CN"/>
              </w:rPr>
              <w:t>，</w:t>
            </w:r>
            <w:r>
              <w:rPr>
                <w:rFonts w:hint="default" w:ascii="Times New Roman" w:hAnsi="Times New Roman" w:eastAsia="宋体" w:cs="Times New Roman"/>
                <w:color w:val="auto"/>
                <w:spacing w:val="4"/>
                <w:kern w:val="0"/>
                <w:sz w:val="24"/>
                <w:highlight w:val="none"/>
                <w:lang w:val="en-US" w:eastAsia="zh-CN"/>
              </w:rPr>
              <w:t>符合《大气污染物综合排放标准》（GB16297-1996）表2新污染源大气污染物排放限值</w:t>
            </w:r>
            <w:r>
              <w:rPr>
                <w:rFonts w:hint="eastAsia" w:cs="Times New Roman"/>
                <w:color w:val="auto"/>
                <w:spacing w:val="4"/>
                <w:kern w:val="0"/>
                <w:sz w:val="24"/>
                <w:highlight w:val="none"/>
                <w:lang w:val="en-US" w:eastAsia="zh-CN"/>
              </w:rPr>
              <w:t>（</w:t>
            </w:r>
            <w:r>
              <w:rPr>
                <w:rFonts w:hint="eastAsia" w:ascii="Times New Roman" w:hAnsi="Times New Roman" w:eastAsia="宋体" w:cs="Times New Roman"/>
                <w:color w:val="auto"/>
                <w:spacing w:val="4"/>
                <w:kern w:val="0"/>
                <w:sz w:val="24"/>
                <w:highlight w:val="none"/>
                <w:lang w:val="en-US" w:eastAsia="zh-CN"/>
              </w:rPr>
              <w:t>颗粒物</w:t>
            </w:r>
            <w:r>
              <w:rPr>
                <w:rFonts w:hint="default" w:ascii="Times New Roman" w:hAnsi="Times New Roman" w:eastAsia="宋体" w:cs="Times New Roman"/>
                <w:color w:val="auto"/>
                <w:spacing w:val="4"/>
                <w:kern w:val="0"/>
                <w:sz w:val="24"/>
                <w:highlight w:val="none"/>
                <w:lang w:val="en-US" w:eastAsia="zh-CN"/>
              </w:rPr>
              <w:t>≤1</w:t>
            </w:r>
            <w:r>
              <w:rPr>
                <w:rFonts w:hint="eastAsia" w:ascii="Times New Roman" w:hAnsi="Times New Roman" w:eastAsia="宋体"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0 mg/m</w:t>
            </w:r>
            <w:r>
              <w:rPr>
                <w:rFonts w:hint="default" w:ascii="Times New Roman" w:hAnsi="Times New Roman" w:eastAsia="宋体" w:cs="Times New Roman"/>
                <w:color w:val="auto"/>
                <w:spacing w:val="4"/>
                <w:kern w:val="0"/>
                <w:sz w:val="24"/>
                <w:highlight w:val="none"/>
                <w:vertAlign w:val="superscript"/>
                <w:lang w:val="en-US" w:eastAsia="zh-CN"/>
              </w:rPr>
              <w:t>3</w:t>
            </w:r>
            <w:r>
              <w:rPr>
                <w:rFonts w:hint="eastAsia" w:cs="Times New Roman"/>
                <w:color w:val="auto"/>
                <w:spacing w:val="4"/>
                <w:kern w:val="0"/>
                <w:sz w:val="24"/>
                <w:highlight w:val="none"/>
                <w:lang w:val="en-US" w:eastAsia="zh-CN"/>
              </w:rPr>
              <w:t>）</w:t>
            </w:r>
            <w:r>
              <w:rPr>
                <w:rFonts w:hint="default" w:ascii="Times New Roman" w:hAnsi="Times New Roman" w:eastAsia="宋体" w:cs="Times New Roman"/>
                <w:color w:val="auto"/>
                <w:spacing w:val="4"/>
                <w:kern w:val="0"/>
                <w:sz w:val="24"/>
                <w:highlight w:val="none"/>
                <w:lang w:val="en-US" w:eastAsia="zh-CN"/>
              </w:rPr>
              <w:t>。</w:t>
            </w:r>
          </w:p>
          <w:p>
            <w:pPr>
              <w:pStyle w:val="73"/>
              <w:keepNext w:val="0"/>
              <w:keepLines w:val="0"/>
              <w:pageBreakBefore w:val="0"/>
              <w:widowControl/>
              <w:kinsoku/>
              <w:wordWrap w:val="0"/>
              <w:overflowPunct/>
              <w:topLinePunct/>
              <w:autoSpaceDE/>
              <w:autoSpaceDN/>
              <w:bidi w:val="0"/>
              <w:adjustRightInd w:val="0"/>
              <w:snapToGrid w:val="0"/>
              <w:spacing w:beforeLines="0" w:afterLines="0" w:line="360" w:lineRule="auto"/>
              <w:textAlignment w:val="auto"/>
              <w:outlineLvl w:val="3"/>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.2废水</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生产废水</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生产废水为立磨设备、除尘器风机冷却水，仅温度升高，经沉淀、冷却后循环使用，为清净水</w:t>
            </w:r>
            <w:r>
              <w:rPr>
                <w:rFonts w:hint="eastAsia" w:ascii="Times New Roman" w:hAnsi="Times New Roman" w:eastAsia="宋体" w:cs="Times New Roman"/>
                <w:color w:val="auto"/>
                <w:sz w:val="24"/>
                <w:highlight w:val="none"/>
                <w:lang w:val="en-US" w:eastAsia="zh-CN"/>
              </w:rPr>
              <w:t>，为了控制循环水中盐类的浓度，采用间歇排掉少量沉淀下来的循环水，主要含有钙、镁等无机盐，属于清洁下水，随厂区雨水管网排放。</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（2）生活污水</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生活污水采用地埋式化粪池处理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初期雨污水采用“沉淀</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过滤”处理，生活污水与初期雨污水分别处理后一并排入湾坞西污水处理厂统一处理，废水接收函见附件</w:t>
            </w:r>
            <w:r>
              <w:rPr>
                <w:rFonts w:hint="eastAsia" w:cs="Times New Roman"/>
                <w:color w:val="auto"/>
                <w:sz w:val="24"/>
                <w:highlight w:val="none"/>
                <w:lang w:val="en-US" w:eastAsia="zh-CN"/>
              </w:rPr>
              <w:t>九</w:t>
            </w:r>
            <w:r>
              <w:rPr>
                <w:rFonts w:hint="eastAsia" w:ascii="Times New Roman" w:hAnsi="Times New Roman" w:eastAsia="宋体" w:cs="Times New Roman"/>
                <w:color w:val="auto"/>
                <w:sz w:val="24"/>
                <w:highlight w:val="none"/>
                <w:lang w:val="en-US" w:eastAsia="zh-CN"/>
              </w:rPr>
              <w:t>。</w:t>
            </w:r>
          </w:p>
          <w:p>
            <w:pPr>
              <w:pStyle w:val="73"/>
              <w:keepNext w:val="0"/>
              <w:keepLines w:val="0"/>
              <w:pageBreakBefore w:val="0"/>
              <w:widowControl/>
              <w:kinsoku/>
              <w:wordWrap w:val="0"/>
              <w:overflowPunct/>
              <w:topLinePunct/>
              <w:autoSpaceDE/>
              <w:autoSpaceDN/>
              <w:bidi w:val="0"/>
              <w:adjustRightInd w:val="0"/>
              <w:snapToGrid w:val="0"/>
              <w:spacing w:beforeLines="0" w:afterLines="0" w:line="360" w:lineRule="auto"/>
              <w:textAlignment w:val="auto"/>
              <w:outlineLvl w:val="3"/>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.3固废</w:t>
            </w:r>
          </w:p>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固体废弃物为一般固体废物和危险废物。一般固废包括燃料燃烧炉渣及生活垃圾等</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生活垃圾由湾坞防卫所收集处理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燃料燃烧炉渣与现有工程原料（水淬渣和球磨渣）混合后经立磨系统处理后作为产品外售；危险废物包括维修产生的维修抹布、废机油等。其中；</w:t>
            </w:r>
            <w:r>
              <w:rPr>
                <w:rFonts w:hint="eastAsia" w:ascii="Times New Roman" w:hAnsi="Times New Roman" w:eastAsia="宋体" w:cs="Times New Roman"/>
                <w:color w:val="auto"/>
                <w:sz w:val="24"/>
                <w:highlight w:val="none"/>
                <w:lang w:val="en-US" w:eastAsia="zh-CN"/>
              </w:rPr>
              <w:t>维修抹布（900-041-49）全部混入生活垃圾一同处理，</w:t>
            </w:r>
            <w:r>
              <w:rPr>
                <w:rFonts w:hint="default" w:ascii="Times New Roman" w:hAnsi="Times New Roman" w:eastAsia="宋体" w:cs="Times New Roman"/>
                <w:color w:val="auto"/>
                <w:sz w:val="24"/>
                <w:highlight w:val="none"/>
                <w:lang w:val="en-US" w:eastAsia="zh-CN"/>
              </w:rPr>
              <w:t>废机油（HW08</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900-249-08）委托</w:t>
            </w:r>
            <w:r>
              <w:rPr>
                <w:rFonts w:hint="eastAsia" w:ascii="Times New Roman" w:hAnsi="Times New Roman" w:eastAsia="宋体" w:cs="Times New Roman"/>
                <w:color w:val="auto"/>
                <w:sz w:val="24"/>
                <w:highlight w:val="none"/>
                <w:lang w:val="en-US" w:eastAsia="zh-CN"/>
              </w:rPr>
              <w:t>福建省三明辉润石化</w:t>
            </w:r>
            <w:r>
              <w:rPr>
                <w:rFonts w:hint="default" w:ascii="Times New Roman" w:hAnsi="Times New Roman" w:eastAsia="宋体" w:cs="Times New Roman"/>
                <w:color w:val="auto"/>
                <w:sz w:val="24"/>
                <w:highlight w:val="none"/>
                <w:lang w:val="en-US" w:eastAsia="zh-CN"/>
              </w:rPr>
              <w:t>有限公司处置</w:t>
            </w:r>
            <w:r>
              <w:rPr>
                <w:rFonts w:hint="eastAsia" w:ascii="Times New Roman" w:hAnsi="Times New Roman" w:eastAsia="宋体" w:cs="Times New Roman"/>
                <w:color w:val="auto"/>
                <w:sz w:val="24"/>
                <w:highlight w:val="none"/>
                <w:lang w:val="en-US" w:eastAsia="zh-CN"/>
              </w:rPr>
              <w:t>，委托协议见附件</w:t>
            </w:r>
            <w:r>
              <w:rPr>
                <w:rFonts w:hint="eastAsia" w:cs="Times New Roman"/>
                <w:color w:val="auto"/>
                <w:sz w:val="24"/>
                <w:highlight w:val="none"/>
                <w:lang w:val="en-US" w:eastAsia="zh-CN"/>
              </w:rPr>
              <w:t>十</w:t>
            </w:r>
            <w:r>
              <w:rPr>
                <w:rFonts w:hint="default" w:ascii="Times New Roman" w:hAnsi="Times New Roman" w:eastAsia="宋体" w:cs="Times New Roman"/>
                <w:color w:val="auto"/>
                <w:sz w:val="24"/>
                <w:highlight w:val="none"/>
                <w:lang w:val="en-US" w:eastAsia="zh-CN"/>
              </w:rPr>
              <w:t>。</w:t>
            </w:r>
          </w:p>
          <w:p>
            <w:pPr>
              <w:pStyle w:val="73"/>
              <w:keepNext w:val="0"/>
              <w:keepLines w:val="0"/>
              <w:pageBreakBefore w:val="0"/>
              <w:widowControl/>
              <w:kinsoku/>
              <w:wordWrap w:val="0"/>
              <w:overflowPunct/>
              <w:topLinePunct/>
              <w:autoSpaceDE/>
              <w:autoSpaceDN/>
              <w:bidi w:val="0"/>
              <w:adjustRightInd w:val="0"/>
              <w:snapToGrid w:val="0"/>
              <w:spacing w:beforeLines="0" w:afterLines="0" w:line="360" w:lineRule="auto"/>
              <w:textAlignment w:val="auto"/>
              <w:outlineLvl w:val="3"/>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.4噪声</w:t>
            </w:r>
          </w:p>
          <w:p>
            <w:pPr>
              <w:pStyle w:val="8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公司</w:t>
            </w:r>
            <w:r>
              <w:rPr>
                <w:rFonts w:hint="eastAsia" w:ascii="Times New Roman" w:hAnsi="Times New Roman" w:cs="Times New Roman"/>
                <w:snapToGrid w:val="0"/>
                <w:color w:val="auto"/>
                <w:kern w:val="0"/>
                <w:highlight w:val="none"/>
                <w:lang w:val="en-US" w:eastAsia="zh-CN"/>
              </w:rPr>
              <w:t>委托福建省冶金产品质量检验站有限公司于</w:t>
            </w:r>
            <w:r>
              <w:rPr>
                <w:rFonts w:hint="default" w:ascii="Times New Roman" w:hAnsi="Times New Roman" w:eastAsia="宋体" w:cs="Times New Roman"/>
                <w:snapToGrid w:val="0"/>
                <w:color w:val="auto"/>
                <w:kern w:val="0"/>
                <w:highlight w:val="none"/>
                <w:lang w:val="en-US" w:eastAsia="zh-CN"/>
              </w:rPr>
              <w:t>202</w:t>
            </w:r>
            <w:r>
              <w:rPr>
                <w:rFonts w:hint="eastAsia" w:ascii="Times New Roman" w:hAnsi="Times New Roman" w:cs="Times New Roman"/>
                <w:snapToGrid w:val="0"/>
                <w:color w:val="auto"/>
                <w:kern w:val="0"/>
                <w:highlight w:val="none"/>
                <w:lang w:val="en-US" w:eastAsia="zh-CN"/>
              </w:rPr>
              <w:t>3</w:t>
            </w:r>
            <w:r>
              <w:rPr>
                <w:rFonts w:hint="default" w:ascii="Times New Roman" w:hAnsi="Times New Roman" w:eastAsia="宋体" w:cs="Times New Roman"/>
                <w:snapToGrid w:val="0"/>
                <w:color w:val="auto"/>
                <w:kern w:val="0"/>
                <w:highlight w:val="none"/>
                <w:lang w:val="en-US" w:eastAsia="zh-CN"/>
              </w:rPr>
              <w:t>年</w:t>
            </w:r>
            <w:r>
              <w:rPr>
                <w:rFonts w:hint="eastAsia" w:ascii="Times New Roman" w:hAnsi="Times New Roman" w:cs="Times New Roman"/>
                <w:snapToGrid w:val="0"/>
                <w:color w:val="auto"/>
                <w:kern w:val="0"/>
                <w:highlight w:val="none"/>
                <w:lang w:val="en-US" w:eastAsia="zh-CN"/>
              </w:rPr>
              <w:t>9</w:t>
            </w:r>
            <w:r>
              <w:rPr>
                <w:rFonts w:hint="default" w:ascii="Times New Roman" w:hAnsi="Times New Roman" w:eastAsia="宋体" w:cs="Times New Roman"/>
                <w:snapToGrid w:val="0"/>
                <w:color w:val="auto"/>
                <w:kern w:val="0"/>
                <w:highlight w:val="none"/>
                <w:lang w:val="en-US" w:eastAsia="zh-CN"/>
              </w:rPr>
              <w:t>月</w:t>
            </w:r>
            <w:r>
              <w:rPr>
                <w:rFonts w:hint="eastAsia" w:ascii="Times New Roman" w:hAnsi="Times New Roman" w:cs="Times New Roman"/>
                <w:snapToGrid w:val="0"/>
                <w:color w:val="auto"/>
                <w:kern w:val="0"/>
                <w:highlight w:val="none"/>
                <w:lang w:val="en-US" w:eastAsia="zh-CN"/>
              </w:rPr>
              <w:t>12</w:t>
            </w:r>
            <w:r>
              <w:rPr>
                <w:rFonts w:hint="default" w:ascii="Times New Roman" w:hAnsi="Times New Roman" w:eastAsia="宋体" w:cs="Times New Roman"/>
                <w:snapToGrid w:val="0"/>
                <w:color w:val="auto"/>
                <w:kern w:val="0"/>
                <w:highlight w:val="none"/>
                <w:lang w:val="en-US" w:eastAsia="zh-CN"/>
              </w:rPr>
              <w:t>日~</w:t>
            </w:r>
            <w:r>
              <w:rPr>
                <w:rFonts w:hint="eastAsia" w:ascii="Times New Roman" w:hAnsi="Times New Roman" w:cs="Times New Roman"/>
                <w:snapToGrid w:val="0"/>
                <w:color w:val="auto"/>
                <w:kern w:val="0"/>
                <w:highlight w:val="none"/>
                <w:lang w:val="en-US" w:eastAsia="zh-CN"/>
              </w:rPr>
              <w:t>13</w:t>
            </w:r>
            <w:r>
              <w:rPr>
                <w:rFonts w:hint="default" w:ascii="Times New Roman" w:hAnsi="Times New Roman" w:eastAsia="宋体" w:cs="Times New Roman"/>
                <w:snapToGrid w:val="0"/>
                <w:color w:val="auto"/>
                <w:kern w:val="0"/>
                <w:highlight w:val="none"/>
                <w:lang w:val="en-US" w:eastAsia="zh-CN"/>
              </w:rPr>
              <w:t>日</w:t>
            </w:r>
            <w:r>
              <w:rPr>
                <w:rFonts w:hint="eastAsia" w:ascii="Times New Roman" w:hAnsi="Times New Roman" w:cs="Times New Roman"/>
                <w:snapToGrid w:val="0"/>
                <w:color w:val="auto"/>
                <w:kern w:val="0"/>
                <w:highlight w:val="none"/>
                <w:lang w:val="en-US" w:eastAsia="zh-CN"/>
              </w:rPr>
              <w:t>对</w:t>
            </w:r>
            <w:r>
              <w:rPr>
                <w:rFonts w:hint="default" w:ascii="Times New Roman" w:hAnsi="Times New Roman" w:eastAsia="宋体" w:cs="Times New Roman"/>
                <w:snapToGrid w:val="0"/>
                <w:color w:val="auto"/>
                <w:kern w:val="0"/>
                <w:highlight w:val="none"/>
                <w:lang w:val="en-US" w:eastAsia="zh-CN"/>
              </w:rPr>
              <w:t>厂界噪声</w:t>
            </w:r>
            <w:r>
              <w:rPr>
                <w:rFonts w:hint="eastAsia" w:ascii="Times New Roman" w:hAnsi="Times New Roman" w:cs="Times New Roman"/>
                <w:snapToGrid w:val="0"/>
                <w:color w:val="auto"/>
                <w:kern w:val="0"/>
                <w:highlight w:val="none"/>
                <w:lang w:val="en-US" w:eastAsia="zh-CN"/>
              </w:rPr>
              <w:t>进行</w:t>
            </w:r>
            <w:r>
              <w:rPr>
                <w:rFonts w:hint="default" w:ascii="Times New Roman" w:hAnsi="Times New Roman" w:eastAsia="宋体" w:cs="Times New Roman"/>
                <w:snapToGrid w:val="0"/>
                <w:color w:val="auto"/>
                <w:kern w:val="0"/>
                <w:highlight w:val="none"/>
                <w:lang w:val="en-US" w:eastAsia="zh-CN"/>
              </w:rPr>
              <w:t>监测，监测期间厂界昼间噪声监测值为</w:t>
            </w:r>
            <w:r>
              <w:rPr>
                <w:rFonts w:hint="eastAsia" w:ascii="Times New Roman" w:hAnsi="Times New Roman" w:cs="Times New Roman"/>
                <w:snapToGrid w:val="0"/>
                <w:color w:val="auto"/>
                <w:kern w:val="0"/>
                <w:highlight w:val="none"/>
                <w:lang w:val="en-US" w:eastAsia="zh-CN"/>
              </w:rPr>
              <w:t>54</w:t>
            </w:r>
            <w:r>
              <w:rPr>
                <w:rFonts w:hint="default" w:ascii="Times New Roman" w:hAnsi="Times New Roman" w:eastAsia="宋体" w:cs="Times New Roman"/>
                <w:snapToGrid w:val="0"/>
                <w:color w:val="auto"/>
                <w:kern w:val="0"/>
                <w:highlight w:val="none"/>
                <w:lang w:val="en-US" w:eastAsia="zh-CN"/>
              </w:rPr>
              <w:t>~6</w:t>
            </w:r>
            <w:r>
              <w:rPr>
                <w:rFonts w:hint="eastAsia" w:ascii="Times New Roman" w:hAnsi="Times New Roman" w:cs="Times New Roman"/>
                <w:snapToGrid w:val="0"/>
                <w:color w:val="auto"/>
                <w:kern w:val="0"/>
                <w:highlight w:val="none"/>
                <w:lang w:val="en-US" w:eastAsia="zh-CN"/>
              </w:rPr>
              <w:t>0</w:t>
            </w:r>
            <w:r>
              <w:rPr>
                <w:rFonts w:hint="default" w:ascii="Times New Roman" w:hAnsi="Times New Roman" w:eastAsia="宋体" w:cs="Times New Roman"/>
                <w:snapToGrid w:val="0"/>
                <w:color w:val="auto"/>
                <w:kern w:val="0"/>
                <w:highlight w:val="none"/>
                <w:lang w:val="en-US" w:eastAsia="zh-CN"/>
              </w:rPr>
              <w:t>dB、夜间噪声监测值</w:t>
            </w:r>
            <w:r>
              <w:rPr>
                <w:rFonts w:hint="eastAsia" w:ascii="Times New Roman" w:hAnsi="Times New Roman" w:cs="Times New Roman"/>
                <w:snapToGrid w:val="0"/>
                <w:color w:val="auto"/>
                <w:kern w:val="0"/>
                <w:highlight w:val="none"/>
                <w:lang w:val="en-US" w:eastAsia="zh-CN"/>
              </w:rPr>
              <w:t>51</w:t>
            </w:r>
            <w:r>
              <w:rPr>
                <w:rFonts w:hint="default" w:ascii="Times New Roman" w:hAnsi="Times New Roman" w:eastAsia="宋体" w:cs="Times New Roman"/>
                <w:snapToGrid w:val="0"/>
                <w:color w:val="auto"/>
                <w:kern w:val="0"/>
                <w:highlight w:val="none"/>
                <w:lang w:val="en-US" w:eastAsia="zh-CN"/>
              </w:rPr>
              <w:t>~54dB，符合《工业企业厂界环境噪声排放标准》（GB12348-2008）中3类标准，即昼间≤65dB（A）</w:t>
            </w:r>
            <w:r>
              <w:rPr>
                <w:rFonts w:hint="eastAsia" w:ascii="Times New Roman" w:hAnsi="Times New Roman" w:cs="Times New Roman"/>
                <w:snapToGrid w:val="0"/>
                <w:color w:val="auto"/>
                <w:kern w:val="0"/>
                <w:highlight w:val="none"/>
                <w:lang w:val="en-US" w:eastAsia="zh-CN"/>
              </w:rPr>
              <w:t>，</w:t>
            </w:r>
            <w:r>
              <w:rPr>
                <w:rFonts w:hint="default" w:ascii="Times New Roman" w:hAnsi="Times New Roman" w:eastAsia="宋体" w:cs="Times New Roman"/>
                <w:snapToGrid w:val="0"/>
                <w:color w:val="auto"/>
                <w:kern w:val="0"/>
                <w:highlight w:val="none"/>
                <w:lang w:val="en-US" w:eastAsia="zh-CN"/>
              </w:rPr>
              <w:t>夜间≤55dB（A）</w:t>
            </w:r>
            <w:r>
              <w:rPr>
                <w:rFonts w:hint="eastAsia" w:ascii="Times New Roman" w:hAnsi="Times New Roman" w:cs="Times New Roman"/>
                <w:snapToGrid w:val="0"/>
                <w:color w:val="auto"/>
                <w:kern w:val="0"/>
                <w:highlight w:val="none"/>
                <w:lang w:val="en-US" w:eastAsia="zh-CN"/>
              </w:rPr>
              <w:t>。监测点位见图2.1-2，监测报告见附件十四。</w:t>
            </w:r>
          </w:p>
          <w:p>
            <w:pPr>
              <w:pStyle w:val="80"/>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pPr>
            <w:r>
              <w:drawing>
                <wp:inline distT="0" distB="0" distL="114300" distR="114300">
                  <wp:extent cx="4032885" cy="2931795"/>
                  <wp:effectExtent l="0" t="0" r="5715" b="1905"/>
                  <wp:docPr id="31" name="图片 31"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未命名"/>
                          <pic:cNvPicPr>
                            <a:picLocks noChangeAspect="1"/>
                          </pic:cNvPicPr>
                        </pic:nvPicPr>
                        <pic:blipFill>
                          <a:blip r:embed="rId17"/>
                          <a:srcRect l="9777" t="1334" r="20139" b="8101"/>
                          <a:stretch>
                            <a:fillRect/>
                          </a:stretch>
                        </pic:blipFill>
                        <pic:spPr>
                          <a:xfrm>
                            <a:off x="0" y="0"/>
                            <a:ext cx="4032885" cy="2931795"/>
                          </a:xfrm>
                          <a:prstGeom prst="rect">
                            <a:avLst/>
                          </a:prstGeom>
                        </pic:spPr>
                      </pic:pic>
                    </a:graphicData>
                  </a:graphic>
                </wp:inline>
              </w:drawing>
            </w:r>
          </w:p>
          <w:p>
            <w:pPr>
              <w:pStyle w:val="80"/>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图2.</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-2 项目噪声监测点位图</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lang w:val="en-US" w:eastAsia="zh-CN"/>
              </w:rPr>
              <w:t>6</w:t>
            </w:r>
            <w:r>
              <w:rPr>
                <w:rFonts w:hint="default" w:ascii="Times New Roman" w:hAnsi="Times New Roman" w:eastAsia="宋体" w:cs="Times New Roman"/>
                <w:b/>
                <w:bCs/>
                <w:color w:val="auto"/>
                <w:sz w:val="28"/>
                <w:szCs w:val="28"/>
                <w:highlight w:val="none"/>
                <w:lang w:val="en-US" w:eastAsia="zh-CN"/>
              </w:rPr>
              <w:t>现有工程污染物排放量统计</w:t>
            </w:r>
          </w:p>
          <w:p>
            <w:pPr>
              <w:pStyle w:val="80"/>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snapToGrid w:val="0"/>
                <w:color w:val="auto"/>
                <w:kern w:val="0"/>
                <w:highlight w:val="none"/>
                <w:lang w:val="en-US" w:eastAsia="zh-CN"/>
              </w:rPr>
            </w:pPr>
            <w:r>
              <w:rPr>
                <w:rFonts w:hint="eastAsia" w:ascii="Times New Roman" w:hAnsi="Times New Roman" w:cs="Times New Roman"/>
                <w:color w:val="auto"/>
                <w:sz w:val="24"/>
                <w:highlight w:val="none"/>
                <w:lang w:val="en-US" w:eastAsia="zh-CN"/>
              </w:rPr>
              <w:t>机制砂生产线目前停用，无污染物产生。因此，仅对年处理300万吨工业废渣综合利用项目</w:t>
            </w:r>
            <w:r>
              <w:rPr>
                <w:rFonts w:hint="default" w:ascii="Times New Roman" w:hAnsi="Times New Roman" w:eastAsia="宋体" w:cs="Times New Roman"/>
                <w:snapToGrid w:val="0"/>
                <w:color w:val="auto"/>
                <w:kern w:val="0"/>
                <w:highlight w:val="none"/>
                <w:lang w:val="en-US" w:eastAsia="zh-CN"/>
              </w:rPr>
              <w:t>污染物排放量</w:t>
            </w:r>
            <w:r>
              <w:rPr>
                <w:rFonts w:hint="eastAsia" w:ascii="Times New Roman" w:hAnsi="Times New Roman" w:eastAsia="宋体" w:cs="Times New Roman"/>
                <w:snapToGrid w:val="0"/>
                <w:color w:val="auto"/>
                <w:kern w:val="0"/>
                <w:highlight w:val="none"/>
                <w:lang w:val="en-US" w:eastAsia="zh-CN"/>
              </w:rPr>
              <w:t>进行统计</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snapToGrid w:val="0"/>
                <w:color w:val="auto"/>
                <w:kern w:val="0"/>
                <w:highlight w:val="none"/>
                <w:lang w:val="en-US" w:eastAsia="zh-CN"/>
              </w:rPr>
              <w:t>污染物排放量详见表2.</w:t>
            </w:r>
            <w:r>
              <w:rPr>
                <w:rFonts w:hint="eastAsia" w:ascii="Times New Roman" w:hAnsi="Times New Roman" w:eastAsia="宋体" w:cs="Times New Roman"/>
                <w:snapToGrid w:val="0"/>
                <w:color w:val="auto"/>
                <w:kern w:val="0"/>
                <w:highlight w:val="none"/>
                <w:lang w:val="en-US" w:eastAsia="zh-CN"/>
              </w:rPr>
              <w:t>3</w:t>
            </w:r>
            <w:r>
              <w:rPr>
                <w:rFonts w:hint="default" w:ascii="Times New Roman" w:hAnsi="Times New Roman" w:eastAsia="宋体" w:cs="Times New Roman"/>
                <w:snapToGrid w:val="0"/>
                <w:color w:val="auto"/>
                <w:kern w:val="0"/>
                <w:highlight w:val="none"/>
                <w:lang w:val="en-US" w:eastAsia="zh-CN"/>
              </w:rPr>
              <w:t>-</w:t>
            </w:r>
            <w:r>
              <w:rPr>
                <w:rFonts w:hint="eastAsia" w:ascii="Times New Roman" w:hAnsi="Times New Roman" w:eastAsia="宋体" w:cs="Times New Roman"/>
                <w:snapToGrid w:val="0"/>
                <w:color w:val="auto"/>
                <w:kern w:val="0"/>
                <w:highlight w:val="none"/>
                <w:lang w:val="en-US" w:eastAsia="zh-CN"/>
              </w:rPr>
              <w:t>3</w:t>
            </w:r>
            <w:r>
              <w:rPr>
                <w:rFonts w:hint="default" w:ascii="Times New Roman" w:hAnsi="Times New Roman" w:eastAsia="宋体" w:cs="Times New Roman"/>
                <w:snapToGrid w:val="0"/>
                <w:color w:val="auto"/>
                <w:kern w:val="0"/>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现有工程污染物排放量统计  （t/a）</w:t>
            </w:r>
          </w:p>
          <w:tbl>
            <w:tblPr>
              <w:tblStyle w:val="33"/>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2240"/>
              <w:gridCol w:w="1775"/>
              <w:gridCol w:w="1775"/>
              <w:gridCol w:w="17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tcBorders>
                    <w:tl2br w:val="single" w:color="auto" w:sz="4" w:space="0"/>
                  </w:tcBorders>
                  <w:noWrap w:val="0"/>
                  <w:tcMar>
                    <w:left w:w="28" w:type="dxa"/>
                    <w:right w:w="28" w:type="dxa"/>
                  </w:tcMar>
                  <w:vAlign w:val="center"/>
                </w:tcPr>
                <w:p>
                  <w:pPr>
                    <w:bidi w:val="0"/>
                    <w:ind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p>
                <w:p>
                  <w:pPr>
                    <w:bidi w:val="0"/>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color w:val="auto"/>
                      <w:sz w:val="21"/>
                      <w:szCs w:val="21"/>
                      <w:lang w:val="en-US" w:eastAsia="zh-CN"/>
                    </w:rPr>
                    <w:t>分类</w:t>
                  </w:r>
                </w:p>
              </w:tc>
              <w:tc>
                <w:tcPr>
                  <w:tcW w:w="1320" w:type="pct"/>
                  <w:noWrap w:val="0"/>
                  <w:tcMar>
                    <w:left w:w="28" w:type="dxa"/>
                    <w:right w:w="28" w:type="dxa"/>
                  </w:tcMar>
                  <w:vAlign w:val="center"/>
                </w:tcPr>
                <w:p>
                  <w:pPr>
                    <w:pStyle w:val="65"/>
                    <w:keepNext w:val="0"/>
                    <w:keepLines w:val="0"/>
                    <w:pageBreakBefore w:val="0"/>
                    <w:widowControl w:val="0"/>
                    <w:kinsoku/>
                    <w:wordWrap/>
                    <w:overflowPunct/>
                    <w:topLinePunct w:val="0"/>
                    <w:autoSpaceDE/>
                    <w:autoSpaceDN/>
                    <w:bidi w:val="0"/>
                    <w:adjustRightInd w:val="0"/>
                    <w:snapToGrid w:val="0"/>
                    <w:spacing w:beforeLines="0" w:afterLines="0" w:line="24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rPr>
                    <w:t>污染物名称</w:t>
                  </w:r>
                </w:p>
              </w:tc>
              <w:tc>
                <w:tcPr>
                  <w:tcW w:w="1046" w:type="pct"/>
                  <w:noWrap w:val="0"/>
                  <w:tcMar>
                    <w:left w:w="28" w:type="dxa"/>
                    <w:right w:w="28" w:type="dxa"/>
                  </w:tcMar>
                  <w:vAlign w:val="center"/>
                </w:tcPr>
                <w:p>
                  <w:pPr>
                    <w:pStyle w:val="65"/>
                    <w:keepNext w:val="0"/>
                    <w:keepLines w:val="0"/>
                    <w:pageBreakBefore w:val="0"/>
                    <w:widowControl w:val="0"/>
                    <w:kinsoku/>
                    <w:wordWrap/>
                    <w:overflowPunct/>
                    <w:topLinePunct w:val="0"/>
                    <w:autoSpaceDE/>
                    <w:autoSpaceDN/>
                    <w:bidi w:val="0"/>
                    <w:adjustRightInd w:val="0"/>
                    <w:snapToGrid w:val="0"/>
                    <w:spacing w:beforeLines="0" w:afterLines="0" w:line="24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snapToGrid w:val="0"/>
                      <w:color w:val="auto"/>
                      <w:spacing w:val="-6"/>
                      <w:kern w:val="21"/>
                      <w:sz w:val="21"/>
                      <w:szCs w:val="21"/>
                      <w:highlight w:val="none"/>
                      <w:lang w:val="en-US" w:eastAsia="zh-CN"/>
                    </w:rPr>
                    <w:t>现有工程许可排放量</w:t>
                  </w:r>
                </w:p>
              </w:tc>
              <w:tc>
                <w:tcPr>
                  <w:tcW w:w="1046" w:type="pct"/>
                  <w:noWrap w:val="0"/>
                  <w:tcMar>
                    <w:left w:w="28" w:type="dxa"/>
                    <w:right w:w="28" w:type="dxa"/>
                  </w:tcMar>
                  <w:vAlign w:val="center"/>
                </w:tcPr>
                <w:p>
                  <w:pPr>
                    <w:pStyle w:val="65"/>
                    <w:keepNext w:val="0"/>
                    <w:keepLines w:val="0"/>
                    <w:pageBreakBefore w:val="0"/>
                    <w:widowControl w:val="0"/>
                    <w:kinsoku/>
                    <w:wordWrap/>
                    <w:overflowPunct/>
                    <w:topLinePunct w:val="0"/>
                    <w:autoSpaceDE/>
                    <w:autoSpaceDN/>
                    <w:bidi w:val="0"/>
                    <w:adjustRightInd w:val="0"/>
                    <w:snapToGrid w:val="0"/>
                    <w:spacing w:beforeLines="0" w:afterLines="0" w:line="24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default" w:ascii="Times New Roman" w:hAnsi="Times New Roman" w:eastAsia="宋体" w:cs="Times New Roman"/>
                      <w:snapToGrid w:val="0"/>
                      <w:color w:val="auto"/>
                      <w:spacing w:val="-6"/>
                      <w:kern w:val="21"/>
                      <w:sz w:val="21"/>
                      <w:szCs w:val="21"/>
                      <w:highlight w:val="none"/>
                      <w:lang w:val="en-US" w:eastAsia="zh-CN"/>
                    </w:rPr>
                    <w:t>现有工程实际排放量</w:t>
                  </w:r>
                </w:p>
              </w:tc>
              <w:tc>
                <w:tcPr>
                  <w:tcW w:w="1046" w:type="pct"/>
                  <w:noWrap w:val="0"/>
                  <w:tcMar>
                    <w:left w:w="28" w:type="dxa"/>
                    <w:right w:w="28" w:type="dxa"/>
                  </w:tcMar>
                  <w:vAlign w:val="center"/>
                </w:tcPr>
                <w:p>
                  <w:pPr>
                    <w:pStyle w:val="65"/>
                    <w:keepNext w:val="0"/>
                    <w:keepLines w:val="0"/>
                    <w:pageBreakBefore w:val="0"/>
                    <w:widowControl w:val="0"/>
                    <w:kinsoku/>
                    <w:wordWrap/>
                    <w:overflowPunct/>
                    <w:topLinePunct w:val="0"/>
                    <w:autoSpaceDE/>
                    <w:autoSpaceDN/>
                    <w:bidi w:val="0"/>
                    <w:adjustRightInd w:val="0"/>
                    <w:snapToGrid w:val="0"/>
                    <w:spacing w:beforeLines="0" w:afterLines="0" w:line="240" w:lineRule="exact"/>
                    <w:ind w:left="0" w:leftChars="0" w:firstLine="0" w:firstLineChars="0"/>
                    <w:jc w:val="center"/>
                    <w:textAlignment w:val="auto"/>
                    <w:rPr>
                      <w:rFonts w:hint="default" w:ascii="Times New Roman" w:hAnsi="Times New Roman" w:eastAsia="宋体" w:cs="Times New Roman"/>
                      <w:snapToGrid w:val="0"/>
                      <w:color w:val="auto"/>
                      <w:spacing w:val="-6"/>
                      <w:kern w:val="21"/>
                      <w:sz w:val="21"/>
                      <w:szCs w:val="21"/>
                      <w:highlight w:val="none"/>
                      <w:lang w:val="en-US" w:eastAsia="zh-CN"/>
                    </w:rPr>
                  </w:pPr>
                  <w:r>
                    <w:rPr>
                      <w:rFonts w:hint="default" w:ascii="Times New Roman" w:hAnsi="Times New Roman" w:eastAsia="宋体" w:cs="Times New Roman"/>
                      <w:snapToGrid w:val="0"/>
                      <w:color w:val="auto"/>
                      <w:spacing w:val="-6"/>
                      <w:kern w:val="21"/>
                      <w:sz w:val="21"/>
                      <w:szCs w:val="21"/>
                      <w:highlight w:val="none"/>
                      <w:lang w:val="en-US" w:eastAsia="zh-CN"/>
                    </w:rPr>
                    <w:t>是否超出许可排放量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noWrap w:val="0"/>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1320" w:type="pct"/>
                  <w:noWrap w:val="0"/>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52.9</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43.28</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noWrap w:val="0"/>
                  <w:vAlign w:val="center"/>
                </w:tcPr>
                <w:p>
                  <w:pPr>
                    <w:bidi w:val="0"/>
                    <w:jc w:val="center"/>
                    <w:rPr>
                      <w:rFonts w:hint="default" w:ascii="Times New Roman" w:hAnsi="Times New Roman" w:eastAsia="宋体" w:cs="Times New Roman"/>
                      <w:color w:val="auto"/>
                      <w:sz w:val="21"/>
                      <w:szCs w:val="21"/>
                      <w:lang w:val="en-US" w:eastAsia="zh-CN"/>
                    </w:rPr>
                  </w:pPr>
                </w:p>
              </w:tc>
              <w:tc>
                <w:tcPr>
                  <w:tcW w:w="1320" w:type="pct"/>
                  <w:noWrap w:val="0"/>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210.71 </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185.14</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restart"/>
                  <w:noWrap w:val="0"/>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1320" w:type="pct"/>
                  <w:noWrap w:val="0"/>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一般工业固体废物</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830.2</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449.5</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9" w:type="pct"/>
                  <w:vMerge w:val="continue"/>
                  <w:noWrap w:val="0"/>
                  <w:vAlign w:val="center"/>
                </w:tcPr>
                <w:p>
                  <w:pPr>
                    <w:pStyle w:val="65"/>
                    <w:keepNext w:val="0"/>
                    <w:keepLines w:val="0"/>
                    <w:pageBreakBefore w:val="0"/>
                    <w:widowControl w:val="0"/>
                    <w:kinsoku/>
                    <w:wordWrap/>
                    <w:overflowPunct/>
                    <w:topLinePunct w:val="0"/>
                    <w:autoSpaceDE/>
                    <w:autoSpaceDN/>
                    <w:bidi w:val="0"/>
                    <w:adjustRightInd w:val="0"/>
                    <w:snapToGrid w:val="0"/>
                    <w:spacing w:beforeLines="0" w:afterLines="0" w:line="240" w:lineRule="exact"/>
                    <w:textAlignment w:val="auto"/>
                    <w:rPr>
                      <w:rFonts w:hint="default" w:ascii="Times New Roman" w:hAnsi="Times New Roman" w:eastAsia="宋体" w:cs="Times New Roman"/>
                      <w:snapToGrid w:val="0"/>
                      <w:color w:val="auto"/>
                      <w:kern w:val="21"/>
                      <w:sz w:val="21"/>
                      <w:szCs w:val="21"/>
                      <w:highlight w:val="none"/>
                      <w:lang w:val="en-US" w:eastAsia="zh-CN"/>
                    </w:rPr>
                  </w:pPr>
                </w:p>
              </w:tc>
              <w:tc>
                <w:tcPr>
                  <w:tcW w:w="1320" w:type="pct"/>
                  <w:noWrap w:val="0"/>
                  <w:vAlign w:val="center"/>
                </w:tcPr>
                <w:p>
                  <w:pPr>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2.44</w:t>
                  </w:r>
                </w:p>
              </w:tc>
              <w:tc>
                <w:tcPr>
                  <w:tcW w:w="10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bl>
          <w:p>
            <w:pPr>
              <w:pStyle w:val="8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注：</w:t>
            </w:r>
            <w:r>
              <w:rPr>
                <w:rFonts w:hint="default" w:ascii="Times New Roman" w:hAnsi="Times New Roman" w:eastAsia="黑体" w:cs="Times New Roman"/>
                <w:snapToGrid w:val="0"/>
                <w:color w:val="auto"/>
                <w:spacing w:val="-6"/>
                <w:kern w:val="21"/>
                <w:szCs w:val="21"/>
                <w:highlight w:val="none"/>
                <w:vertAlign w:val="baseline"/>
                <w:lang w:val="en-US" w:eastAsia="zh-CN"/>
              </w:rPr>
              <w:t>①</w:t>
            </w:r>
            <w:r>
              <w:rPr>
                <w:rFonts w:hint="default" w:ascii="Times New Roman" w:hAnsi="Times New Roman" w:cs="Times New Roman"/>
                <w:snapToGrid w:val="0"/>
                <w:color w:val="auto"/>
                <w:kern w:val="0"/>
                <w:sz w:val="21"/>
                <w:szCs w:val="21"/>
                <w:highlight w:val="none"/>
                <w:lang w:val="en-US" w:eastAsia="zh-CN"/>
              </w:rPr>
              <w:t>现有</w:t>
            </w:r>
            <w:r>
              <w:rPr>
                <w:rFonts w:hint="default" w:ascii="Times New Roman" w:hAnsi="Times New Roman" w:eastAsia="宋体" w:cs="Times New Roman"/>
                <w:snapToGrid w:val="0"/>
                <w:color w:val="auto"/>
                <w:kern w:val="0"/>
                <w:sz w:val="21"/>
                <w:szCs w:val="21"/>
                <w:highlight w:val="none"/>
                <w:lang w:val="en-US" w:eastAsia="zh-CN"/>
              </w:rPr>
              <w:t>工程</w:t>
            </w:r>
            <w:r>
              <w:rPr>
                <w:rFonts w:hint="default" w:ascii="Times New Roman" w:hAnsi="Times New Roman" w:cs="Times New Roman"/>
                <w:snapToGrid w:val="0"/>
                <w:color w:val="auto"/>
                <w:kern w:val="0"/>
                <w:sz w:val="21"/>
                <w:szCs w:val="21"/>
                <w:highlight w:val="none"/>
                <w:lang w:val="en-US" w:eastAsia="zh-CN"/>
              </w:rPr>
              <w:t>许可排放量</w:t>
            </w:r>
            <w:r>
              <w:rPr>
                <w:rFonts w:hint="default" w:ascii="Times New Roman" w:hAnsi="Times New Roman" w:eastAsia="宋体" w:cs="Times New Roman"/>
                <w:snapToGrid w:val="0"/>
                <w:color w:val="auto"/>
                <w:kern w:val="0"/>
                <w:sz w:val="21"/>
                <w:szCs w:val="21"/>
                <w:highlight w:val="none"/>
                <w:lang w:val="en-US" w:eastAsia="zh-CN"/>
              </w:rPr>
              <w:t>源自《福安市青拓环保建材有限公司年处理300万吨工业废渣综合利用项目环境影响报告书》</w:t>
            </w:r>
            <w:r>
              <w:rPr>
                <w:rFonts w:hint="eastAsia" w:ascii="Times New Roman" w:hAnsi="Times New Roman" w:cs="Times New Roman"/>
                <w:snapToGrid w:val="0"/>
                <w:color w:val="auto"/>
                <w:kern w:val="0"/>
                <w:sz w:val="21"/>
                <w:szCs w:val="21"/>
                <w:highlight w:val="none"/>
                <w:lang w:val="en-US" w:eastAsia="zh-CN"/>
              </w:rPr>
              <w:t>。</w:t>
            </w:r>
          </w:p>
          <w:p>
            <w:pPr>
              <w:pStyle w:val="8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56" w:firstLineChars="200"/>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黑体" w:cs="Times New Roman"/>
                <w:snapToGrid w:val="0"/>
                <w:color w:val="auto"/>
                <w:spacing w:val="-6"/>
                <w:kern w:val="21"/>
                <w:szCs w:val="21"/>
                <w:highlight w:val="none"/>
                <w:vertAlign w:val="baseline"/>
                <w:lang w:val="en-US" w:eastAsia="zh-CN"/>
              </w:rPr>
              <w:t>②</w:t>
            </w:r>
            <w:r>
              <w:rPr>
                <w:rFonts w:hint="default" w:ascii="Times New Roman" w:hAnsi="Times New Roman" w:eastAsia="宋体" w:cs="Times New Roman"/>
                <w:snapToGrid w:val="0"/>
                <w:color w:val="auto"/>
                <w:kern w:val="0"/>
                <w:sz w:val="21"/>
                <w:szCs w:val="21"/>
                <w:highlight w:val="none"/>
                <w:lang w:val="en-US" w:eastAsia="zh-CN"/>
              </w:rPr>
              <w:t>现有工程实际排放量</w:t>
            </w:r>
            <w:r>
              <w:rPr>
                <w:rFonts w:hint="default" w:ascii="Times New Roman" w:hAnsi="Times New Roman" w:cs="Times New Roman"/>
                <w:snapToGrid w:val="0"/>
                <w:color w:val="auto"/>
                <w:kern w:val="0"/>
                <w:sz w:val="21"/>
                <w:szCs w:val="21"/>
                <w:highlight w:val="none"/>
                <w:lang w:val="en-US" w:eastAsia="zh-CN"/>
              </w:rPr>
              <w:t>取值《福安市青拓环保建材有限公司年处理300万吨工业废渣综合利用项目竣工环境保护验收监测报告》。</w:t>
            </w:r>
          </w:p>
          <w:p>
            <w:pPr>
              <w:keepNext/>
              <w:keepLines w:val="0"/>
              <w:pageBreakBefore w:val="0"/>
              <w:widowControl w:val="0"/>
              <w:kinsoku/>
              <w:wordWrap/>
              <w:overflowPunct/>
              <w:topLinePunct w:val="0"/>
              <w:autoSpaceDE/>
              <w:autoSpaceDN/>
              <w:bidi w:val="0"/>
              <w:adjustRightInd/>
              <w:snapToGrid w:val="0"/>
              <w:spacing w:before="110" w:beforeLines="30" w:after="0" w:afterAutospacing="0" w:line="360" w:lineRule="auto"/>
              <w:ind w:firstLine="480" w:firstLineChars="200"/>
              <w:textAlignment w:val="auto"/>
              <w:outlineLvl w:val="9"/>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福安市青拓环保建材有限公司于20</w:t>
            </w:r>
            <w:r>
              <w:rPr>
                <w:rFonts w:hint="eastAsia" w:cs="Times New Roman"/>
                <w:snapToGrid/>
                <w:color w:val="auto"/>
                <w:kern w:val="2"/>
                <w:sz w:val="24"/>
                <w:szCs w:val="24"/>
                <w:highlight w:val="none"/>
                <w:lang w:val="en-US" w:eastAsia="zh-CN" w:bidi="ar-SA"/>
              </w:rPr>
              <w:t>23</w:t>
            </w:r>
            <w:r>
              <w:rPr>
                <w:rFonts w:hint="default" w:ascii="Times New Roman" w:hAnsi="Times New Roman" w:eastAsia="宋体" w:cs="Times New Roman"/>
                <w:snapToGrid/>
                <w:color w:val="auto"/>
                <w:kern w:val="2"/>
                <w:sz w:val="24"/>
                <w:szCs w:val="24"/>
                <w:highlight w:val="none"/>
                <w:lang w:val="en-US" w:eastAsia="zh-CN" w:bidi="ar-SA"/>
              </w:rPr>
              <w:t>年</w:t>
            </w:r>
            <w:r>
              <w:rPr>
                <w:rFonts w:hint="eastAsia" w:cs="Times New Roman"/>
                <w:snapToGrid/>
                <w:color w:val="auto"/>
                <w:kern w:val="2"/>
                <w:sz w:val="24"/>
                <w:szCs w:val="24"/>
                <w:highlight w:val="none"/>
                <w:lang w:val="en-US" w:eastAsia="zh-CN" w:bidi="ar-SA"/>
              </w:rPr>
              <w:t>6</w:t>
            </w:r>
            <w:r>
              <w:rPr>
                <w:rFonts w:hint="default" w:ascii="Times New Roman" w:hAnsi="Times New Roman" w:eastAsia="宋体" w:cs="Times New Roman"/>
                <w:snapToGrid/>
                <w:color w:val="auto"/>
                <w:kern w:val="2"/>
                <w:sz w:val="24"/>
                <w:szCs w:val="24"/>
                <w:highlight w:val="none"/>
                <w:lang w:val="en-US" w:eastAsia="zh-CN" w:bidi="ar-SA"/>
              </w:rPr>
              <w:t>月</w:t>
            </w:r>
            <w:r>
              <w:rPr>
                <w:rFonts w:hint="eastAsia" w:cs="Times New Roman"/>
                <w:snapToGrid/>
                <w:color w:val="auto"/>
                <w:kern w:val="2"/>
                <w:sz w:val="24"/>
                <w:szCs w:val="24"/>
                <w:highlight w:val="none"/>
                <w:lang w:val="en-US" w:eastAsia="zh-CN" w:bidi="ar-SA"/>
              </w:rPr>
              <w:t>16</w:t>
            </w:r>
            <w:r>
              <w:rPr>
                <w:rFonts w:hint="default" w:ascii="Times New Roman" w:hAnsi="Times New Roman" w:eastAsia="宋体" w:cs="Times New Roman"/>
                <w:snapToGrid/>
                <w:color w:val="auto"/>
                <w:kern w:val="2"/>
                <w:sz w:val="24"/>
                <w:szCs w:val="24"/>
                <w:highlight w:val="none"/>
                <w:lang w:val="en-US" w:eastAsia="zh-CN" w:bidi="ar-SA"/>
              </w:rPr>
              <w:t>日取得排污许可证，证书编号：91350981MA2XXNFT6H001Q</w:t>
            </w:r>
            <w:r>
              <w:rPr>
                <w:rFonts w:hint="eastAsia" w:ascii="Times New Roman" w:hAnsi="Times New Roman" w:eastAsia="宋体" w:cs="Times New Roman"/>
                <w:snapToGrid/>
                <w:color w:val="auto"/>
                <w:kern w:val="2"/>
                <w:sz w:val="24"/>
                <w:szCs w:val="24"/>
                <w:highlight w:val="none"/>
                <w:lang w:val="en-US" w:eastAsia="zh-CN" w:bidi="ar-SA"/>
              </w:rPr>
              <w:t>，见附件</w:t>
            </w:r>
            <w:r>
              <w:rPr>
                <w:rFonts w:hint="eastAsia" w:cs="Times New Roman"/>
                <w:snapToGrid/>
                <w:color w:val="auto"/>
                <w:kern w:val="2"/>
                <w:sz w:val="24"/>
                <w:szCs w:val="24"/>
                <w:highlight w:val="none"/>
                <w:lang w:val="en-US" w:eastAsia="zh-CN" w:bidi="ar-SA"/>
              </w:rPr>
              <w:t>十一</w:t>
            </w:r>
            <w:r>
              <w:rPr>
                <w:rFonts w:hint="eastAsia" w:ascii="Times New Roman" w:hAnsi="Times New Roman" w:eastAsia="宋体" w:cs="Times New Roman"/>
                <w:snapToGrid/>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before="182" w:beforeLines="50" w:after="182" w:afterLines="50" w:line="240" w:lineRule="auto"/>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3</w:t>
            </w:r>
            <w:r>
              <w:rPr>
                <w:rFonts w:hint="default"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lang w:val="en-US" w:eastAsia="zh-CN"/>
              </w:rPr>
              <w:t>7</w:t>
            </w:r>
            <w:r>
              <w:rPr>
                <w:rFonts w:hint="default" w:ascii="Times New Roman" w:hAnsi="Times New Roman" w:eastAsia="宋体" w:cs="Times New Roman"/>
                <w:b/>
                <w:bCs/>
                <w:color w:val="auto"/>
                <w:sz w:val="28"/>
                <w:szCs w:val="28"/>
                <w:highlight w:val="none"/>
                <w:lang w:val="en-US" w:eastAsia="zh-CN"/>
              </w:rPr>
              <w:t>与项目有关的原有环境污染问题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与本</w:t>
            </w:r>
            <w:r>
              <w:rPr>
                <w:rFonts w:hint="eastAsia" w:cs="Times New Roman"/>
                <w:color w:val="auto"/>
                <w:sz w:val="24"/>
                <w:szCs w:val="24"/>
                <w:highlight w:val="none"/>
                <w:lang w:val="en-US" w:eastAsia="zh-CN"/>
              </w:rPr>
              <w:t>技改</w:t>
            </w:r>
            <w:r>
              <w:rPr>
                <w:rFonts w:hint="default" w:ascii="Times New Roman" w:hAnsi="Times New Roman" w:cs="Times New Roman"/>
                <w:color w:val="auto"/>
                <w:sz w:val="24"/>
                <w:szCs w:val="24"/>
                <w:highlight w:val="none"/>
                <w:lang w:val="en-US" w:eastAsia="zh-CN"/>
              </w:rPr>
              <w:t>项目有关的现有工程废气、噪声、生活污水排放均实现达标排放，</w:t>
            </w:r>
            <w:r>
              <w:rPr>
                <w:rFonts w:hint="default" w:ascii="Times New Roman" w:hAnsi="Times New Roman" w:eastAsia="宋体" w:cs="Times New Roman"/>
                <w:color w:val="auto"/>
                <w:sz w:val="24"/>
                <w:szCs w:val="24"/>
                <w:highlight w:val="none"/>
                <w:lang w:val="en-US" w:eastAsia="zh-CN"/>
              </w:rPr>
              <w:t>一般固废和危险固废均得到有效处理和处置。污染物年排放量满足排污许可总量控制要求。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eastAsia" w:cs="Times New Roman"/>
                <w:color w:val="auto"/>
                <w:sz w:val="24"/>
                <w:szCs w:val="24"/>
                <w:highlight w:val="none"/>
                <w:lang w:val="en-US" w:eastAsia="zh-CN"/>
              </w:rPr>
              <w:t>技改</w:t>
            </w:r>
            <w:r>
              <w:rPr>
                <w:rFonts w:hint="default" w:ascii="Times New Roman" w:hAnsi="Times New Roman" w:eastAsia="宋体" w:cs="Times New Roman"/>
                <w:color w:val="auto"/>
                <w:sz w:val="24"/>
                <w:szCs w:val="24"/>
                <w:highlight w:val="none"/>
                <w:lang w:val="en-US" w:eastAsia="zh-CN"/>
              </w:rPr>
              <w:t>项目无生产废水，员工内部调剂，</w:t>
            </w:r>
            <w:r>
              <w:rPr>
                <w:rFonts w:hint="eastAsia" w:ascii="Times New Roman" w:hAnsi="Times New Roman" w:eastAsia="宋体" w:cs="Times New Roman"/>
                <w:color w:val="auto"/>
                <w:sz w:val="24"/>
                <w:szCs w:val="24"/>
                <w:highlight w:val="none"/>
                <w:lang w:val="en-US" w:eastAsia="zh-CN"/>
              </w:rPr>
              <w:t>本项目不新增员工，</w:t>
            </w:r>
            <w:r>
              <w:rPr>
                <w:rFonts w:hint="default" w:ascii="Times New Roman" w:hAnsi="Times New Roman" w:eastAsia="宋体" w:cs="Times New Roman"/>
                <w:color w:val="auto"/>
                <w:sz w:val="24"/>
                <w:szCs w:val="24"/>
                <w:highlight w:val="none"/>
                <w:lang w:val="en-US" w:eastAsia="zh-CN"/>
              </w:rPr>
              <w:t>生活污水无增减。废气排放主要为</w:t>
            </w:r>
            <w:r>
              <w:rPr>
                <w:rFonts w:hint="eastAsia" w:ascii="Times New Roman" w:hAnsi="Times New Roman" w:eastAsia="宋体" w:cs="Times New Roman"/>
                <w:color w:val="auto"/>
                <w:sz w:val="24"/>
                <w:szCs w:val="24"/>
                <w:highlight w:val="none"/>
                <w:lang w:val="en-US" w:eastAsia="zh-CN"/>
              </w:rPr>
              <w:t>破碎、筛分、混合搅拌和皮带输送</w:t>
            </w:r>
            <w:r>
              <w:rPr>
                <w:rFonts w:hint="eastAsia" w:cs="Times New Roman"/>
                <w:color w:val="auto"/>
                <w:sz w:val="24"/>
                <w:szCs w:val="24"/>
                <w:highlight w:val="none"/>
                <w:lang w:val="en-US" w:eastAsia="zh-CN"/>
              </w:rPr>
              <w:t>过程产生</w:t>
            </w:r>
            <w:r>
              <w:rPr>
                <w:rFonts w:hint="default" w:ascii="Times New Roman" w:hAnsi="Times New Roman" w:eastAsia="宋体" w:cs="Times New Roman"/>
                <w:color w:val="auto"/>
                <w:sz w:val="24"/>
                <w:szCs w:val="24"/>
                <w:highlight w:val="none"/>
                <w:lang w:val="en-US" w:eastAsia="zh-CN"/>
              </w:rPr>
              <w:t>，主要污染物为颗粒物，不新增污染物类型。厂区已建雨污水管网</w:t>
            </w:r>
            <w:r>
              <w:rPr>
                <w:rFonts w:hint="eastAsia" w:cs="Times New Roman"/>
                <w:color w:val="auto"/>
                <w:sz w:val="24"/>
                <w:szCs w:val="24"/>
                <w:highlight w:val="none"/>
                <w:lang w:val="en-US" w:eastAsia="zh-CN"/>
              </w:rPr>
              <w:t>、初期雨水池和</w:t>
            </w:r>
            <w:r>
              <w:rPr>
                <w:rFonts w:hint="default" w:ascii="Times New Roman" w:hAnsi="Times New Roman" w:eastAsia="宋体" w:cs="Times New Roman"/>
                <w:color w:val="auto"/>
                <w:sz w:val="24"/>
                <w:szCs w:val="24"/>
                <w:highlight w:val="none"/>
                <w:lang w:val="en-US" w:eastAsia="zh-CN"/>
              </w:rPr>
              <w:t>事故应急池。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vertAlign w:val="baseline"/>
                <w:lang w:val="en-US" w:eastAsia="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工程不存在与本项目有关的环境污染问题。</w:t>
            </w:r>
          </w:p>
        </w:tc>
      </w:tr>
    </w:tbl>
    <w:p>
      <w:pPr>
        <w:pStyle w:val="2"/>
        <w:rPr>
          <w:rFonts w:hint="eastAsia"/>
          <w:lang w:val="en-US" w:eastAsia="zh-CN"/>
        </w:rPr>
        <w:sectPr>
          <w:pgSz w:w="11907" w:h="16840"/>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p>
    <w:p>
      <w:pPr>
        <w:keepNext w:val="0"/>
        <w:keepLines w:val="0"/>
        <w:pageBreakBefore w:val="0"/>
        <w:widowControl/>
        <w:kinsoku/>
        <w:wordWrap/>
        <w:overflowPunct/>
        <w:topLinePunct w:val="0"/>
        <w:autoSpaceDE/>
        <w:autoSpaceDN/>
        <w:bidi w:val="0"/>
        <w:adjustRightInd/>
        <w:snapToGrid w:val="0"/>
        <w:spacing w:before="157" w:beforeLines="50" w:after="156" w:afterLines="50" w:line="240" w:lineRule="auto"/>
        <w:jc w:val="center"/>
        <w:textAlignment w:val="auto"/>
        <w:outlineLvl w:val="0"/>
        <w:rPr>
          <w:rFonts w:hint="default" w:ascii="Times New Roman" w:hAnsi="Times New Roman" w:eastAsia="黑体" w:cs="Times New Roman"/>
          <w:snapToGrid w:val="0"/>
          <w:color w:val="auto"/>
          <w:kern w:val="0"/>
          <w:sz w:val="30"/>
          <w:szCs w:val="30"/>
          <w:highlight w:val="none"/>
          <w:lang w:val="en-US" w:eastAsia="zh-CN"/>
        </w:rPr>
      </w:pPr>
      <w:r>
        <w:rPr>
          <w:rFonts w:hint="eastAsia" w:ascii="Times New Roman" w:hAnsi="Times New Roman" w:eastAsia="黑体" w:cs="Times New Roman"/>
          <w:snapToGrid w:val="0"/>
          <w:color w:val="auto"/>
          <w:kern w:val="0"/>
          <w:sz w:val="30"/>
          <w:szCs w:val="30"/>
          <w:highlight w:val="none"/>
          <w:lang w:val="en-US" w:eastAsia="zh-CN"/>
        </w:rPr>
        <w:t>三、</w:t>
      </w:r>
      <w:r>
        <w:rPr>
          <w:rFonts w:hint="default" w:ascii="Times New Roman" w:hAnsi="Times New Roman" w:eastAsia="黑体" w:cs="Times New Roman"/>
          <w:snapToGrid w:val="0"/>
          <w:color w:val="auto"/>
          <w:kern w:val="0"/>
          <w:sz w:val="30"/>
          <w:szCs w:val="30"/>
          <w:highlight w:val="none"/>
          <w:lang w:val="en-US" w:eastAsia="zh-CN"/>
        </w:rPr>
        <w:t>区域环境质量现状、环境保护目标及评价标准</w:t>
      </w:r>
      <w:bookmarkEnd w:id="45"/>
      <w:bookmarkEnd w:id="46"/>
      <w:bookmarkEnd w:id="47"/>
      <w:bookmarkEnd w:id="48"/>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5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374" w:type="pct"/>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0000FF"/>
                <w:kern w:val="0"/>
                <w:szCs w:val="21"/>
              </w:rPr>
            </w:pPr>
            <w:r>
              <w:rPr>
                <w:rFonts w:hint="default" w:ascii="Times New Roman" w:hAnsi="Times New Roman" w:cs="Times New Roman"/>
                <w:color w:val="auto"/>
                <w:kern w:val="0"/>
                <w:sz w:val="24"/>
                <w:szCs w:val="24"/>
              </w:rPr>
              <w:t>现状</w:t>
            </w:r>
          </w:p>
        </w:tc>
        <w:tc>
          <w:tcPr>
            <w:tcW w:w="4625" w:type="pct"/>
            <w:noWrap w:val="0"/>
            <w:vAlign w:val="center"/>
          </w:tcPr>
          <w:p>
            <w:pPr>
              <w:pStyle w:val="4"/>
              <w:keepNext/>
              <w:keepLines/>
              <w:pageBreakBefore w:val="0"/>
              <w:widowControl w:val="0"/>
              <w:numPr>
                <w:ilvl w:val="0"/>
                <w:numId w:val="0"/>
              </w:numPr>
              <w:tabs>
                <w:tab w:val="left" w:pos="900"/>
              </w:tabs>
              <w:kinsoku/>
              <w:wordWrap/>
              <w:overflowPunct/>
              <w:topLinePunct w:val="0"/>
              <w:autoSpaceDE/>
              <w:autoSpaceDN/>
              <w:bidi w:val="0"/>
              <w:adjustRightInd w:val="0"/>
              <w:snapToGrid w:val="0"/>
              <w:spacing w:before="219" w:beforeLines="70" w:after="219" w:afterLines="70" w:line="240" w:lineRule="auto"/>
              <w:jc w:val="left"/>
              <w:textAlignment w:val="auto"/>
              <w:rPr>
                <w:rFonts w:hint="default" w:ascii="Times New Roman" w:hAnsi="Times New Roman" w:eastAsia="宋体" w:cs="Times New Roman"/>
                <w:b/>
                <w:bCs/>
                <w:smallCaps/>
                <w:snapToGrid/>
                <w:color w:val="auto"/>
                <w:sz w:val="30"/>
                <w:szCs w:val="30"/>
                <w:highlight w:val="none"/>
              </w:rPr>
            </w:pPr>
            <w:bookmarkStart w:id="51" w:name="_Toc24641"/>
            <w:bookmarkStart w:id="52" w:name="_Toc3624"/>
            <w:bookmarkStart w:id="53" w:name="_Toc11385"/>
            <w:bookmarkStart w:id="54" w:name="_Toc10118"/>
            <w:r>
              <w:rPr>
                <w:rFonts w:hint="default" w:ascii="Times New Roman" w:hAnsi="Times New Roman" w:eastAsia="宋体" w:cs="Times New Roman"/>
                <w:b/>
                <w:bCs/>
                <w:smallCaps/>
                <w:snapToGrid/>
                <w:color w:val="auto"/>
                <w:sz w:val="30"/>
                <w:szCs w:val="30"/>
                <w:highlight w:val="none"/>
              </w:rPr>
              <w:t>3.1  区域环境质量</w:t>
            </w:r>
            <w:bookmarkEnd w:id="51"/>
            <w:bookmarkEnd w:id="52"/>
            <w:bookmarkEnd w:id="53"/>
            <w:bookmarkEnd w:id="54"/>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55" w:name="_Toc4609"/>
            <w:bookmarkStart w:id="56" w:name="_Toc637"/>
            <w:bookmarkStart w:id="57" w:name="_Toc21862"/>
            <w:bookmarkStart w:id="58" w:name="_Toc24352"/>
            <w:bookmarkStart w:id="59" w:name="_Toc31609"/>
            <w:bookmarkStart w:id="60" w:name="_Toc17287"/>
            <w:bookmarkStart w:id="61" w:name="_Toc25474"/>
            <w:bookmarkStart w:id="62" w:name="_Toc24355"/>
            <w:r>
              <w:rPr>
                <w:rFonts w:hint="default" w:ascii="Times New Roman" w:hAnsi="Times New Roman" w:eastAsia="宋体" w:cs="Times New Roman"/>
                <w:b/>
                <w:bCs/>
                <w:color w:val="auto"/>
                <w:highlight w:val="none"/>
                <w:lang w:val="en-US" w:eastAsia="zh-CN"/>
              </w:rPr>
              <w:t>3.1.1  大气环境质量</w:t>
            </w:r>
            <w:bookmarkEnd w:id="55"/>
            <w:bookmarkEnd w:id="56"/>
            <w:bookmarkEnd w:id="57"/>
            <w:bookmarkEnd w:id="58"/>
            <w:bookmarkEnd w:id="59"/>
            <w:bookmarkEnd w:id="60"/>
            <w:bookmarkEnd w:id="61"/>
            <w:bookmarkEnd w:id="62"/>
          </w:p>
          <w:p>
            <w:pPr>
              <w:snapToGrid w:val="0"/>
              <w:spacing w:line="360" w:lineRule="auto"/>
              <w:ind w:firstLine="480" w:firstLineChars="200"/>
              <w:rPr>
                <w:rFonts w:hint="default" w:ascii="Times New Roman" w:hAnsi="Times New Roman" w:cs="Times New Roman"/>
                <w:color w:val="auto"/>
                <w:sz w:val="24"/>
                <w:highlight w:val="none"/>
                <w:lang w:val="en-US" w:eastAsia="zh-CN"/>
              </w:rPr>
            </w:pPr>
            <w:bookmarkStart w:id="63" w:name="_Toc23924"/>
            <w:bookmarkStart w:id="64" w:name="_Toc11818"/>
            <w:bookmarkStart w:id="65" w:name="_Toc27486"/>
            <w:bookmarkStart w:id="66" w:name="_Toc18979"/>
            <w:bookmarkStart w:id="67" w:name="_Toc27768"/>
            <w:bookmarkStart w:id="68" w:name="_Toc3601"/>
            <w:bookmarkStart w:id="69" w:name="_Toc8556"/>
            <w:bookmarkStart w:id="70" w:name="_Toc13553"/>
            <w:r>
              <w:rPr>
                <w:rFonts w:hint="default" w:ascii="Times New Roman" w:hAnsi="Times New Roman" w:eastAsia="宋体" w:cs="Times New Roman"/>
                <w:snapToGrid w:val="0"/>
                <w:color w:val="auto"/>
                <w:kern w:val="0"/>
                <w:sz w:val="24"/>
                <w:szCs w:val="24"/>
                <w:highlight w:val="none"/>
                <w:lang w:val="en-US" w:eastAsia="zh-CN" w:bidi="ar-SA"/>
              </w:rPr>
              <w:t>本项目所在区域环境空气为二类环境空气功能区，环境空气质量执行《环境空气质量标准》（GB3095-2012）及2018修改单二级标准，详见表3.1-1。</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bookmarkStart w:id="71" w:name="_Toc941"/>
            <w:r>
              <w:rPr>
                <w:rFonts w:hint="default" w:ascii="Times New Roman" w:hAnsi="Times New Roman" w:eastAsia="宋体" w:cs="Times New Roman"/>
                <w:b/>
                <w:bCs/>
                <w:color w:val="auto"/>
                <w:sz w:val="24"/>
                <w:szCs w:val="24"/>
                <w:lang w:val="en-US" w:eastAsia="zh-CN"/>
              </w:rPr>
              <w:t>表3.1-1  环境空气评价标准  单位：mg/m</w:t>
            </w:r>
            <w:r>
              <w:rPr>
                <w:rFonts w:hint="default" w:ascii="Times New Roman" w:hAnsi="Times New Roman" w:eastAsia="宋体" w:cs="Times New Roman"/>
                <w:b/>
                <w:bCs/>
                <w:color w:val="auto"/>
                <w:sz w:val="24"/>
                <w:szCs w:val="24"/>
                <w:vertAlign w:val="superscript"/>
                <w:lang w:val="en-US" w:eastAsia="zh-CN"/>
              </w:rPr>
              <w:t>3</w:t>
            </w:r>
            <w:bookmarkEnd w:id="71"/>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2320"/>
              <w:gridCol w:w="1395"/>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取值范围</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浓度限值</w:t>
                  </w:r>
                </w:p>
              </w:tc>
              <w:tc>
                <w:tcPr>
                  <w:tcW w:w="1892"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restar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0.060</w:t>
                  </w:r>
                </w:p>
              </w:tc>
              <w:tc>
                <w:tcPr>
                  <w:tcW w:w="1892" w:type="pct"/>
                  <w:vMerge w:val="restar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《环境空气质量标准》</w:t>
                  </w:r>
                </w:p>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（GB3095-2012）及2018修改单二级标准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0.500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restar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0.080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restar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w:t>
                  </w: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restar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O</w:t>
                  </w:r>
                  <w:r>
                    <w:rPr>
                      <w:rFonts w:hint="default" w:ascii="Times New Roman" w:hAnsi="Times New Roman" w:eastAsia="宋体" w:cs="Times New Roman"/>
                      <w:color w:val="auto"/>
                      <w:sz w:val="21"/>
                      <w:szCs w:val="21"/>
                      <w:highlight w:val="none"/>
                      <w:vertAlign w:val="subscript"/>
                      <w:lang w:val="en-US" w:eastAsia="zh-CN"/>
                    </w:rPr>
                    <w:t>3</w:t>
                  </w: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日最大8小时平均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0.160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restar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0.150</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restar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2.5</w:t>
                  </w: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0.035</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0.075</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jc w:val="center"/>
              </w:trPr>
              <w:tc>
                <w:tcPr>
                  <w:tcW w:w="885"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387"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1小时平均</w:t>
                  </w:r>
                </w:p>
              </w:tc>
              <w:tc>
                <w:tcPr>
                  <w:tcW w:w="834" w:type="pct"/>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892" w:type="pct"/>
                  <w:vMerge w:val="continue"/>
                  <w:tcBorders>
                    <w:tl2br w:val="nil"/>
                    <w:tr2bl w:val="nil"/>
                  </w:tcBorders>
                  <w:noWrap w:val="0"/>
                  <w:tcMar>
                    <w:top w:w="0" w:type="dxa"/>
                    <w:left w:w="0" w:type="dxa"/>
                    <w:bottom w:w="0" w:type="dxa"/>
                    <w:right w:w="0" w:type="dxa"/>
                  </w:tcMar>
                  <w:vAlign w:val="center"/>
                </w:tcPr>
                <w:p>
                  <w:pPr>
                    <w:pStyle w:val="44"/>
                    <w:keepNext w:val="0"/>
                    <w:keepLines w:val="0"/>
                    <w:pageBreakBefore w:val="0"/>
                    <w:widowControl/>
                    <w:tabs>
                      <w:tab w:val="right" w:leader="dot" w:pos="8777"/>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bl>
          <w:p>
            <w:pPr>
              <w:pStyle w:val="8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根据宁德市环境质量概要（二0二二年度），福安市达标天数统计见表3.1-2，主要污染物平均浓度比较见表3.1-3。</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表3.1-2  2022年宁德市达标天数情况统计</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695"/>
              <w:gridCol w:w="1654"/>
              <w:gridCol w:w="1897"/>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城市</w:t>
                  </w:r>
                </w:p>
              </w:tc>
              <w:tc>
                <w:tcPr>
                  <w:tcW w:w="1013"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有效天数统计</w:t>
                  </w:r>
                </w:p>
              </w:tc>
              <w:tc>
                <w:tcPr>
                  <w:tcW w:w="3260" w:type="pct"/>
                  <w:gridSpan w:val="3"/>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101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989"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总达标比例%</w:t>
                  </w:r>
                </w:p>
              </w:tc>
              <w:tc>
                <w:tcPr>
                  <w:tcW w:w="1134"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一级达标比例%</w:t>
                  </w:r>
                </w:p>
              </w:tc>
              <w:tc>
                <w:tcPr>
                  <w:tcW w:w="1137"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二级达标比例%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中心城区</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97.8</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62.2</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shd w:val="clear" w:color="auto" w:fill="9ED3A3"/>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福安市</w:t>
                  </w:r>
                </w:p>
              </w:tc>
              <w:tc>
                <w:tcPr>
                  <w:tcW w:w="1013" w:type="pct"/>
                  <w:shd w:val="clear" w:color="auto" w:fill="9ED3A3"/>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989" w:type="pct"/>
                  <w:shd w:val="clear" w:color="auto" w:fill="9ED3A3"/>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134" w:type="pct"/>
                  <w:shd w:val="clear" w:color="auto" w:fill="9ED3A3"/>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77.3</w:t>
                  </w:r>
                </w:p>
              </w:tc>
              <w:tc>
                <w:tcPr>
                  <w:tcW w:w="1137" w:type="pct"/>
                  <w:shd w:val="clear" w:color="auto" w:fill="9ED3A3"/>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福鼎市</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363</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90.6</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霞浦县</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92.6</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古田县</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355</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99.7</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74.6</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屏南县</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89.0</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寿宁县</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72.3</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周宁县</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97.0</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柘荣县</w:t>
                  </w:r>
                </w:p>
              </w:tc>
              <w:tc>
                <w:tcPr>
                  <w:tcW w:w="1013"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365</w:t>
                  </w:r>
                </w:p>
              </w:tc>
              <w:tc>
                <w:tcPr>
                  <w:tcW w:w="989"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1134"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77.5</w:t>
                  </w:r>
                </w:p>
              </w:tc>
              <w:tc>
                <w:tcPr>
                  <w:tcW w:w="1137"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全市</w:t>
                  </w:r>
                </w:p>
              </w:tc>
              <w:tc>
                <w:tcPr>
                  <w:tcW w:w="1013"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3291</w:t>
                  </w:r>
                </w:p>
              </w:tc>
              <w:tc>
                <w:tcPr>
                  <w:tcW w:w="989"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99.8</w:t>
                  </w:r>
                </w:p>
              </w:tc>
              <w:tc>
                <w:tcPr>
                  <w:tcW w:w="1134" w:type="pct"/>
                  <w:noWrap w:val="0"/>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kern w:val="0"/>
                      <w:sz w:val="21"/>
                      <w:szCs w:val="21"/>
                      <w:highlight w:val="none"/>
                    </w:rPr>
                    <w:t>81.5</w:t>
                  </w:r>
                </w:p>
              </w:tc>
              <w:tc>
                <w:tcPr>
                  <w:tcW w:w="1137" w:type="pct"/>
                  <w:noWrap w:val="0"/>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kern w:val="0"/>
                      <w:sz w:val="21"/>
                      <w:szCs w:val="21"/>
                      <w:highlight w:val="none"/>
                    </w:rPr>
                    <w:t>18.3</w:t>
                  </w: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表3.1-3  2021、2022年宁德市主要污染物平均浓度比较</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autofit"/>
              <w:tblCellMar>
                <w:top w:w="0" w:type="dxa"/>
                <w:left w:w="108" w:type="dxa"/>
                <w:bottom w:w="0" w:type="dxa"/>
                <w:right w:w="108" w:type="dxa"/>
              </w:tblCellMar>
            </w:tblPr>
            <w:tblGrid>
              <w:gridCol w:w="965"/>
              <w:gridCol w:w="603"/>
              <w:gridCol w:w="607"/>
              <w:gridCol w:w="606"/>
              <w:gridCol w:w="608"/>
              <w:gridCol w:w="663"/>
              <w:gridCol w:w="668"/>
              <w:gridCol w:w="606"/>
              <w:gridCol w:w="608"/>
              <w:gridCol w:w="606"/>
              <w:gridCol w:w="608"/>
              <w:gridCol w:w="606"/>
              <w:gridCol w:w="60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vMerge w:val="restar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城市</w:t>
                  </w:r>
                </w:p>
              </w:tc>
              <w:tc>
                <w:tcPr>
                  <w:tcW w:w="724" w:type="pct"/>
                  <w:gridSpan w:val="2"/>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二氧化硫</w:t>
                  </w:r>
                </w:p>
              </w:tc>
              <w:tc>
                <w:tcPr>
                  <w:tcW w:w="725" w:type="pct"/>
                  <w:gridSpan w:val="2"/>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二氧化氮</w:t>
                  </w:r>
                </w:p>
              </w:tc>
              <w:tc>
                <w:tcPr>
                  <w:tcW w:w="795" w:type="pct"/>
                  <w:gridSpan w:val="2"/>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可吸入</w:t>
                  </w:r>
                </w:p>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颗粒物</w:t>
                  </w:r>
                </w:p>
              </w:tc>
              <w:tc>
                <w:tcPr>
                  <w:tcW w:w="725" w:type="pct"/>
                  <w:gridSpan w:val="2"/>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细颗粒物</w:t>
                  </w:r>
                </w:p>
              </w:tc>
              <w:tc>
                <w:tcPr>
                  <w:tcW w:w="725" w:type="pct"/>
                  <w:gridSpan w:val="2"/>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一氧化碳</w:t>
                  </w:r>
                </w:p>
              </w:tc>
              <w:tc>
                <w:tcPr>
                  <w:tcW w:w="725" w:type="pct"/>
                  <w:gridSpan w:val="2"/>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臭氧</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vMerge w:val="continue"/>
                  <w:noWrap w:val="0"/>
                  <w:vAlign w:val="center"/>
                </w:tcPr>
                <w:p>
                  <w:pPr>
                    <w:jc w:val="center"/>
                    <w:rPr>
                      <w:rFonts w:hint="default" w:ascii="Times New Roman" w:hAnsi="Times New Roman" w:cs="Times New Roman"/>
                      <w:color w:val="auto"/>
                      <w:sz w:val="18"/>
                      <w:szCs w:val="18"/>
                      <w:highlight w:val="none"/>
                    </w:rPr>
                  </w:pP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2021</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2022</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2021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中心城区</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16</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31</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38</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0.9</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132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128</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福安市</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14</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14</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33</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36</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17</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0.9</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105</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福鼎市</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27</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13</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1.4</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94</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93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霞浦县</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15</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16</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29</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37</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15</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18</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96</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古田县</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29</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39</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95</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屏南县</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18</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22</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14</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0.9</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100</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88</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寿宁县</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4</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9</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23</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26</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0.8</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114</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周宁县</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21</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24</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14</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0.7</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0.9</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72</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82</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柘荣县</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7</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21</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28</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14</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15</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0.9</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114</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108</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577" w:type="pct"/>
                  <w:noWrap w:val="0"/>
                  <w:vAlign w:val="center"/>
                </w:tcPr>
                <w:p>
                  <w:pPr>
                    <w:widowControl/>
                    <w:jc w:val="center"/>
                    <w:rPr>
                      <w:rFonts w:hint="default" w:ascii="Times New Roman" w:hAnsi="Times New Roman" w:cs="Times New Roman"/>
                      <w:bCs/>
                      <w:color w:val="auto"/>
                      <w:kern w:val="0"/>
                      <w:sz w:val="18"/>
                      <w:szCs w:val="18"/>
                      <w:highlight w:val="none"/>
                    </w:rPr>
                  </w:pPr>
                  <w:r>
                    <w:rPr>
                      <w:rFonts w:hint="default" w:ascii="Times New Roman" w:hAnsi="Times New Roman" w:cs="Times New Roman"/>
                      <w:bCs/>
                      <w:color w:val="auto"/>
                      <w:kern w:val="0"/>
                      <w:sz w:val="18"/>
                      <w:szCs w:val="18"/>
                      <w:highlight w:val="none"/>
                    </w:rPr>
                    <w:t>全市</w:t>
                  </w:r>
                </w:p>
              </w:tc>
              <w:tc>
                <w:tcPr>
                  <w:tcW w:w="361"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11</w:t>
                  </w:r>
                </w:p>
              </w:tc>
              <w:tc>
                <w:tcPr>
                  <w:tcW w:w="396"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26</w:t>
                  </w:r>
                </w:p>
              </w:tc>
              <w:tc>
                <w:tcPr>
                  <w:tcW w:w="398"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31</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14</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16</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0.9</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w:t>
                  </w:r>
                </w:p>
              </w:tc>
              <w:tc>
                <w:tcPr>
                  <w:tcW w:w="362"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103</w:t>
                  </w:r>
                </w:p>
              </w:tc>
              <w:tc>
                <w:tcPr>
                  <w:tcW w:w="363" w:type="pct"/>
                  <w:noWrap w:val="0"/>
                  <w:vAlign w:val="center"/>
                </w:tcPr>
                <w:p>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101</w:t>
                  </w:r>
                </w:p>
              </w:tc>
            </w:tr>
          </w:tbl>
          <w:p>
            <w:pPr>
              <w:pStyle w:val="27"/>
              <w:adjustRightInd w:val="0"/>
              <w:snapToGrid w:val="0"/>
              <w:spacing w:after="0" w:line="360" w:lineRule="auto"/>
              <w:rPr>
                <w:rFonts w:hint="default" w:ascii="Times New Roman" w:hAnsi="Times New Roman" w:cs="Times New Roman"/>
                <w:color w:val="auto"/>
                <w:sz w:val="15"/>
                <w:szCs w:val="15"/>
                <w:highlight w:val="none"/>
              </w:rPr>
            </w:pPr>
            <w:r>
              <w:rPr>
                <w:rFonts w:hint="default" w:ascii="Times New Roman" w:hAnsi="Times New Roman" w:cs="Times New Roman"/>
                <w:color w:val="auto"/>
                <w:sz w:val="15"/>
                <w:szCs w:val="15"/>
                <w:highlight w:val="none"/>
              </w:rPr>
              <w:t>备注</w:t>
            </w:r>
            <w:r>
              <w:rPr>
                <w:rFonts w:hint="default" w:ascii="Times New Roman" w:hAnsi="Times New Roman" w:cs="Times New Roman"/>
                <w:bCs/>
                <w:color w:val="auto"/>
                <w:sz w:val="15"/>
                <w:szCs w:val="15"/>
                <w:highlight w:val="none"/>
              </w:rPr>
              <w:t>：SO</w:t>
            </w:r>
            <w:r>
              <w:rPr>
                <w:rFonts w:hint="default" w:ascii="Times New Roman" w:hAnsi="Times New Roman" w:cs="Times New Roman"/>
                <w:bCs/>
                <w:color w:val="auto"/>
                <w:sz w:val="15"/>
                <w:szCs w:val="15"/>
                <w:highlight w:val="none"/>
                <w:vertAlign w:val="subscript"/>
              </w:rPr>
              <w:t>2</w:t>
            </w:r>
            <w:r>
              <w:rPr>
                <w:rFonts w:hint="default" w:ascii="Times New Roman" w:hAnsi="Times New Roman" w:cs="Times New Roman"/>
                <w:color w:val="auto"/>
                <w:sz w:val="15"/>
                <w:szCs w:val="15"/>
                <w:highlight w:val="none"/>
              </w:rPr>
              <w:t>、</w:t>
            </w:r>
            <w:r>
              <w:rPr>
                <w:rFonts w:hint="default" w:ascii="Times New Roman" w:hAnsi="Times New Roman" w:cs="Times New Roman"/>
                <w:bCs/>
                <w:color w:val="auto"/>
                <w:sz w:val="15"/>
                <w:szCs w:val="15"/>
                <w:highlight w:val="none"/>
              </w:rPr>
              <w:t>NO</w:t>
            </w:r>
            <w:r>
              <w:rPr>
                <w:rFonts w:hint="default" w:ascii="Times New Roman" w:hAnsi="Times New Roman" w:cs="Times New Roman"/>
                <w:bCs/>
                <w:color w:val="auto"/>
                <w:sz w:val="15"/>
                <w:szCs w:val="15"/>
                <w:highlight w:val="none"/>
                <w:vertAlign w:val="subscript"/>
              </w:rPr>
              <w:t>2</w:t>
            </w:r>
            <w:r>
              <w:rPr>
                <w:rFonts w:hint="default" w:ascii="Times New Roman" w:hAnsi="Times New Roman" w:cs="Times New Roman"/>
                <w:color w:val="auto"/>
                <w:sz w:val="15"/>
                <w:szCs w:val="15"/>
                <w:highlight w:val="none"/>
              </w:rPr>
              <w:t>、</w:t>
            </w:r>
            <w:r>
              <w:rPr>
                <w:rFonts w:hint="default" w:ascii="Times New Roman" w:hAnsi="Times New Roman" w:cs="Times New Roman"/>
                <w:bCs/>
                <w:color w:val="auto"/>
                <w:sz w:val="15"/>
                <w:szCs w:val="15"/>
                <w:highlight w:val="none"/>
              </w:rPr>
              <w:t>PM</w:t>
            </w:r>
            <w:r>
              <w:rPr>
                <w:rFonts w:hint="default" w:ascii="Times New Roman" w:hAnsi="Times New Roman" w:cs="Times New Roman"/>
                <w:bCs/>
                <w:color w:val="auto"/>
                <w:sz w:val="15"/>
                <w:szCs w:val="15"/>
                <w:highlight w:val="none"/>
                <w:vertAlign w:val="subscript"/>
              </w:rPr>
              <w:t>10</w:t>
            </w:r>
            <w:r>
              <w:rPr>
                <w:rFonts w:hint="default" w:ascii="Times New Roman" w:hAnsi="Times New Roman" w:cs="Times New Roman"/>
                <w:color w:val="auto"/>
                <w:sz w:val="15"/>
                <w:szCs w:val="15"/>
                <w:highlight w:val="none"/>
              </w:rPr>
              <w:t>和</w:t>
            </w:r>
            <w:r>
              <w:rPr>
                <w:rFonts w:hint="default" w:ascii="Times New Roman" w:hAnsi="Times New Roman" w:cs="Times New Roman"/>
                <w:bCs/>
                <w:color w:val="auto"/>
                <w:sz w:val="15"/>
                <w:szCs w:val="15"/>
                <w:highlight w:val="none"/>
              </w:rPr>
              <w:t>PM</w:t>
            </w:r>
            <w:r>
              <w:rPr>
                <w:rFonts w:hint="default" w:ascii="Times New Roman" w:hAnsi="Times New Roman" w:cs="Times New Roman"/>
                <w:bCs/>
                <w:color w:val="auto"/>
                <w:sz w:val="15"/>
                <w:szCs w:val="15"/>
                <w:highlight w:val="none"/>
                <w:vertAlign w:val="subscript"/>
              </w:rPr>
              <w:t>2.5</w:t>
            </w:r>
            <w:r>
              <w:rPr>
                <w:rFonts w:hint="default" w:ascii="Times New Roman" w:hAnsi="Times New Roman" w:cs="Times New Roman"/>
                <w:color w:val="auto"/>
                <w:sz w:val="15"/>
                <w:szCs w:val="15"/>
                <w:highlight w:val="none"/>
              </w:rPr>
              <w:t>为平均浓度，</w:t>
            </w:r>
            <w:r>
              <w:rPr>
                <w:rFonts w:hint="default" w:ascii="Times New Roman" w:hAnsi="Times New Roman" w:cs="Times New Roman"/>
                <w:bCs/>
                <w:color w:val="auto"/>
                <w:sz w:val="15"/>
                <w:szCs w:val="15"/>
                <w:highlight w:val="none"/>
              </w:rPr>
              <w:t>CO</w:t>
            </w:r>
            <w:r>
              <w:rPr>
                <w:rFonts w:hint="default" w:ascii="Times New Roman" w:hAnsi="Times New Roman" w:cs="Times New Roman"/>
                <w:color w:val="auto"/>
                <w:sz w:val="15"/>
                <w:szCs w:val="15"/>
                <w:highlight w:val="none"/>
              </w:rPr>
              <w:t>为日均值第</w:t>
            </w:r>
            <w:r>
              <w:rPr>
                <w:rFonts w:hint="default" w:ascii="Times New Roman" w:hAnsi="Times New Roman" w:cs="Times New Roman"/>
                <w:bCs/>
                <w:color w:val="auto"/>
                <w:sz w:val="15"/>
                <w:szCs w:val="15"/>
                <w:highlight w:val="none"/>
              </w:rPr>
              <w:t>95</w:t>
            </w:r>
            <w:r>
              <w:rPr>
                <w:rFonts w:hint="default" w:ascii="Times New Roman" w:hAnsi="Times New Roman" w:cs="Times New Roman"/>
                <w:color w:val="auto"/>
                <w:sz w:val="15"/>
                <w:szCs w:val="15"/>
                <w:highlight w:val="none"/>
              </w:rPr>
              <w:t>百分位数，</w:t>
            </w:r>
            <w:r>
              <w:rPr>
                <w:rFonts w:hint="default" w:ascii="Times New Roman" w:hAnsi="Times New Roman" w:cs="Times New Roman"/>
                <w:bCs/>
                <w:color w:val="auto"/>
                <w:sz w:val="15"/>
                <w:szCs w:val="15"/>
                <w:highlight w:val="none"/>
              </w:rPr>
              <w:t>O</w:t>
            </w:r>
            <w:r>
              <w:rPr>
                <w:rFonts w:hint="default" w:ascii="Times New Roman" w:hAnsi="Times New Roman" w:cs="Times New Roman"/>
                <w:bCs/>
                <w:color w:val="auto"/>
                <w:sz w:val="15"/>
                <w:szCs w:val="15"/>
                <w:highlight w:val="none"/>
                <w:vertAlign w:val="subscript"/>
              </w:rPr>
              <w:t>3</w:t>
            </w:r>
            <w:r>
              <w:rPr>
                <w:rFonts w:hint="default" w:ascii="Times New Roman" w:hAnsi="Times New Roman" w:cs="Times New Roman"/>
                <w:color w:val="auto"/>
                <w:sz w:val="15"/>
                <w:szCs w:val="15"/>
                <w:highlight w:val="none"/>
              </w:rPr>
              <w:t>为日最大</w:t>
            </w:r>
            <w:r>
              <w:rPr>
                <w:rFonts w:hint="default" w:ascii="Times New Roman" w:hAnsi="Times New Roman" w:cs="Times New Roman"/>
                <w:bCs/>
                <w:color w:val="auto"/>
                <w:sz w:val="15"/>
                <w:szCs w:val="15"/>
                <w:highlight w:val="none"/>
              </w:rPr>
              <w:t>8</w:t>
            </w:r>
            <w:r>
              <w:rPr>
                <w:rFonts w:hint="default" w:ascii="Times New Roman" w:hAnsi="Times New Roman" w:cs="Times New Roman"/>
                <w:color w:val="auto"/>
                <w:sz w:val="15"/>
                <w:szCs w:val="15"/>
                <w:highlight w:val="none"/>
              </w:rPr>
              <w:t>小时值第</w:t>
            </w:r>
            <w:r>
              <w:rPr>
                <w:rFonts w:hint="default" w:ascii="Times New Roman" w:hAnsi="Times New Roman" w:cs="Times New Roman"/>
                <w:bCs/>
                <w:color w:val="auto"/>
                <w:sz w:val="15"/>
                <w:szCs w:val="15"/>
                <w:highlight w:val="none"/>
              </w:rPr>
              <w:t>90</w:t>
            </w:r>
            <w:r>
              <w:rPr>
                <w:rFonts w:hint="default" w:ascii="Times New Roman" w:hAnsi="Times New Roman" w:cs="Times New Roman"/>
                <w:color w:val="auto"/>
                <w:sz w:val="15"/>
                <w:szCs w:val="15"/>
                <w:highlight w:val="none"/>
              </w:rPr>
              <w:t>百分位数，CO浓度单位为mg/m</w:t>
            </w:r>
            <w:r>
              <w:rPr>
                <w:rFonts w:hint="default" w:ascii="Times New Roman" w:hAnsi="Times New Roman" w:cs="Times New Roman"/>
                <w:color w:val="auto"/>
                <w:sz w:val="15"/>
                <w:szCs w:val="15"/>
                <w:highlight w:val="none"/>
                <w:vertAlign w:val="superscript"/>
              </w:rPr>
              <w:t>3</w:t>
            </w:r>
            <w:r>
              <w:rPr>
                <w:rFonts w:hint="default" w:ascii="Times New Roman" w:hAnsi="Times New Roman" w:cs="Times New Roman"/>
                <w:color w:val="auto"/>
                <w:sz w:val="15"/>
                <w:szCs w:val="15"/>
                <w:highlight w:val="none"/>
              </w:rPr>
              <w:t>，其他浓度单位均为μg/m</w:t>
            </w:r>
            <w:r>
              <w:rPr>
                <w:rFonts w:hint="default" w:ascii="Times New Roman" w:hAnsi="Times New Roman" w:cs="Times New Roman"/>
                <w:color w:val="auto"/>
                <w:sz w:val="15"/>
                <w:szCs w:val="15"/>
                <w:highlight w:val="none"/>
                <w:vertAlign w:val="superscript"/>
              </w:rPr>
              <w:t>3</w:t>
            </w:r>
            <w:r>
              <w:rPr>
                <w:rFonts w:hint="default" w:ascii="Times New Roman" w:hAnsi="Times New Roman" w:cs="Times New Roman"/>
                <w:color w:val="auto"/>
                <w:sz w:val="15"/>
                <w:szCs w:val="15"/>
                <w:highlight w:val="none"/>
              </w:rPr>
              <w:t>。</w:t>
            </w:r>
          </w:p>
          <w:p>
            <w:pPr>
              <w:pStyle w:val="8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因此，项目所在区域6项基本因子SO</w:t>
            </w:r>
            <w:r>
              <w:rPr>
                <w:rFonts w:hint="default" w:ascii="Times New Roman" w:hAnsi="Times New Roman" w:eastAsia="宋体" w:cs="Times New Roman"/>
                <w:snapToGrid w:val="0"/>
                <w:color w:val="auto"/>
                <w:kern w:val="0"/>
                <w:highlight w:val="none"/>
                <w:vertAlign w:val="subscript"/>
                <w:lang w:val="en-US" w:eastAsia="zh-CN"/>
              </w:rPr>
              <w:t>2</w:t>
            </w:r>
            <w:r>
              <w:rPr>
                <w:rFonts w:hint="default" w:ascii="Times New Roman" w:hAnsi="Times New Roman" w:eastAsia="宋体" w:cs="Times New Roman"/>
                <w:snapToGrid w:val="0"/>
                <w:color w:val="auto"/>
                <w:kern w:val="0"/>
                <w:highlight w:val="none"/>
                <w:lang w:val="en-US" w:eastAsia="zh-CN"/>
              </w:rPr>
              <w:t>、NO</w:t>
            </w:r>
            <w:r>
              <w:rPr>
                <w:rFonts w:hint="default" w:ascii="Times New Roman" w:hAnsi="Times New Roman" w:eastAsia="宋体" w:cs="Times New Roman"/>
                <w:snapToGrid w:val="0"/>
                <w:color w:val="auto"/>
                <w:kern w:val="0"/>
                <w:highlight w:val="none"/>
                <w:vertAlign w:val="subscript"/>
                <w:lang w:val="en-US" w:eastAsia="zh-CN"/>
              </w:rPr>
              <w:t>2</w:t>
            </w:r>
            <w:r>
              <w:rPr>
                <w:rFonts w:hint="default" w:ascii="Times New Roman" w:hAnsi="Times New Roman" w:eastAsia="宋体" w:cs="Times New Roman"/>
                <w:snapToGrid w:val="0"/>
                <w:color w:val="auto"/>
                <w:kern w:val="0"/>
                <w:highlight w:val="none"/>
                <w:lang w:val="en-US" w:eastAsia="zh-CN"/>
              </w:rPr>
              <w:t>、CO、O</w:t>
            </w:r>
            <w:r>
              <w:rPr>
                <w:rFonts w:hint="default" w:ascii="Times New Roman" w:hAnsi="Times New Roman" w:eastAsia="宋体" w:cs="Times New Roman"/>
                <w:snapToGrid w:val="0"/>
                <w:color w:val="auto"/>
                <w:kern w:val="0"/>
                <w:highlight w:val="none"/>
                <w:vertAlign w:val="subscript"/>
                <w:lang w:val="en-US" w:eastAsia="zh-CN"/>
              </w:rPr>
              <w:t>3</w:t>
            </w:r>
            <w:r>
              <w:rPr>
                <w:rFonts w:hint="default" w:ascii="Times New Roman" w:hAnsi="Times New Roman" w:eastAsia="宋体" w:cs="Times New Roman"/>
                <w:snapToGrid w:val="0"/>
                <w:color w:val="auto"/>
                <w:kern w:val="0"/>
                <w:highlight w:val="none"/>
                <w:lang w:val="en-US" w:eastAsia="zh-CN"/>
              </w:rPr>
              <w:t>、PM</w:t>
            </w:r>
            <w:r>
              <w:rPr>
                <w:rFonts w:hint="default" w:ascii="Times New Roman" w:hAnsi="Times New Roman" w:eastAsia="宋体" w:cs="Times New Roman"/>
                <w:snapToGrid w:val="0"/>
                <w:color w:val="auto"/>
                <w:kern w:val="0"/>
                <w:highlight w:val="none"/>
                <w:vertAlign w:val="subscript"/>
                <w:lang w:val="en-US" w:eastAsia="zh-CN"/>
              </w:rPr>
              <w:t>10</w:t>
            </w:r>
            <w:r>
              <w:rPr>
                <w:rFonts w:hint="default" w:ascii="Times New Roman" w:hAnsi="Times New Roman" w:eastAsia="宋体" w:cs="Times New Roman"/>
                <w:snapToGrid w:val="0"/>
                <w:color w:val="auto"/>
                <w:kern w:val="0"/>
                <w:highlight w:val="none"/>
                <w:lang w:val="en-US" w:eastAsia="zh-CN"/>
              </w:rPr>
              <w:t>、PM</w:t>
            </w:r>
            <w:r>
              <w:rPr>
                <w:rFonts w:hint="default" w:ascii="Times New Roman" w:hAnsi="Times New Roman" w:eastAsia="宋体" w:cs="Times New Roman"/>
                <w:snapToGrid w:val="0"/>
                <w:color w:val="auto"/>
                <w:kern w:val="0"/>
                <w:highlight w:val="none"/>
                <w:vertAlign w:val="subscript"/>
                <w:lang w:val="en-US" w:eastAsia="zh-CN"/>
              </w:rPr>
              <w:t>2.5</w:t>
            </w:r>
            <w:r>
              <w:rPr>
                <w:rFonts w:hint="default" w:ascii="Times New Roman" w:hAnsi="Times New Roman" w:eastAsia="宋体" w:cs="Times New Roman"/>
                <w:snapToGrid w:val="0"/>
                <w:color w:val="auto"/>
                <w:kern w:val="0"/>
                <w:highlight w:val="none"/>
                <w:lang w:val="en-US" w:eastAsia="zh-CN"/>
              </w:rPr>
              <w:t>的浓度均低于《环境空气质量标准》（GB3095-2012）中二级标准限值，福安市属于达标区域。</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72" w:name="_Toc10458"/>
            <w:bookmarkStart w:id="73" w:name="_Toc3910"/>
            <w:r>
              <w:rPr>
                <w:rFonts w:hint="default" w:ascii="Times New Roman" w:hAnsi="Times New Roman" w:eastAsia="宋体" w:cs="Times New Roman"/>
                <w:b/>
                <w:bCs/>
                <w:color w:val="auto"/>
                <w:highlight w:val="none"/>
                <w:lang w:val="en-US" w:eastAsia="zh-CN"/>
              </w:rPr>
              <w:t>3.1.2  海水环境质量现状</w:t>
            </w:r>
            <w:bookmarkEnd w:id="72"/>
            <w:bookmarkEnd w:id="73"/>
          </w:p>
          <w:p>
            <w:pPr>
              <w:pStyle w:val="80"/>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根据宁德市环境质量概要（2022年度），宁德市近岸海域海水水质状况相比去年总体情况有所改善，具体见表3.</w:t>
            </w:r>
            <w:r>
              <w:rPr>
                <w:rFonts w:hint="eastAsia" w:ascii="Times New Roman" w:hAnsi="Times New Roman" w:cs="Times New Roman"/>
                <w:snapToGrid w:val="0"/>
                <w:color w:val="auto"/>
                <w:kern w:val="0"/>
                <w:highlight w:val="none"/>
                <w:lang w:val="en-US" w:eastAsia="zh-CN"/>
              </w:rPr>
              <w:t>1</w:t>
            </w:r>
            <w:r>
              <w:rPr>
                <w:rFonts w:hint="default" w:ascii="Times New Roman" w:hAnsi="Times New Roman" w:eastAsia="宋体" w:cs="Times New Roman"/>
                <w:snapToGrid w:val="0"/>
                <w:color w:val="auto"/>
                <w:kern w:val="0"/>
                <w:highlight w:val="none"/>
                <w:lang w:val="en-US" w:eastAsia="zh-CN"/>
              </w:rPr>
              <w:t>-</w:t>
            </w:r>
            <w:r>
              <w:rPr>
                <w:rFonts w:hint="eastAsia" w:ascii="Times New Roman" w:hAnsi="Times New Roman" w:cs="Times New Roman"/>
                <w:snapToGrid w:val="0"/>
                <w:color w:val="auto"/>
                <w:kern w:val="0"/>
                <w:highlight w:val="none"/>
                <w:lang w:val="en-US" w:eastAsia="zh-CN"/>
              </w:rPr>
              <w:t>4</w:t>
            </w:r>
            <w:r>
              <w:rPr>
                <w:rFonts w:hint="default" w:ascii="Times New Roman" w:hAnsi="Times New Roman" w:eastAsia="宋体" w:cs="Times New Roman"/>
                <w:snapToGrid w:val="0"/>
                <w:color w:val="auto"/>
                <w:kern w:val="0"/>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宁德市近海海域水质类别比例统计表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985"/>
              <w:gridCol w:w="1081"/>
              <w:gridCol w:w="1245"/>
              <w:gridCol w:w="1415"/>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站位名称</w:t>
                  </w:r>
                </w:p>
              </w:tc>
              <w:tc>
                <w:tcPr>
                  <w:tcW w:w="1235"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水质类别</w:t>
                  </w:r>
                </w:p>
              </w:tc>
              <w:tc>
                <w:tcPr>
                  <w:tcW w:w="1590" w:type="pct"/>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一类～二类水质比例（％）</w:t>
                  </w:r>
                </w:p>
              </w:tc>
              <w:tc>
                <w:tcPr>
                  <w:tcW w:w="1366"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一类～二类</w:t>
                  </w:r>
                </w:p>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超标项目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p>
              </w:tc>
              <w:tc>
                <w:tcPr>
                  <w:tcW w:w="589"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本期</w:t>
                  </w:r>
                </w:p>
              </w:tc>
              <w:tc>
                <w:tcPr>
                  <w:tcW w:w="64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上年同期</w:t>
                  </w:r>
                </w:p>
              </w:tc>
              <w:tc>
                <w:tcPr>
                  <w:tcW w:w="74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本期</w:t>
                  </w:r>
                </w:p>
              </w:tc>
              <w:tc>
                <w:tcPr>
                  <w:tcW w:w="84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上年同期</w:t>
                  </w:r>
                </w:p>
              </w:tc>
              <w:tc>
                <w:tcPr>
                  <w:tcW w:w="1366"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7"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白马港</w:t>
                  </w:r>
                </w:p>
              </w:tc>
              <w:tc>
                <w:tcPr>
                  <w:tcW w:w="589"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劣四类</w:t>
                  </w:r>
                </w:p>
              </w:tc>
              <w:tc>
                <w:tcPr>
                  <w:tcW w:w="646"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劣四类</w:t>
                  </w:r>
                </w:p>
              </w:tc>
              <w:tc>
                <w:tcPr>
                  <w:tcW w:w="744"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0</w:t>
                  </w:r>
                </w:p>
              </w:tc>
              <w:tc>
                <w:tcPr>
                  <w:tcW w:w="846"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0</w:t>
                  </w:r>
                </w:p>
              </w:tc>
              <w:tc>
                <w:tcPr>
                  <w:tcW w:w="1366"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活性磷酸盐,无机氮</w:t>
                  </w:r>
                </w:p>
              </w:tc>
            </w:tr>
          </w:tbl>
          <w:p>
            <w:pPr>
              <w:pStyle w:val="8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项目地处福安市</w:t>
            </w:r>
            <w:r>
              <w:rPr>
                <w:rFonts w:hint="eastAsia" w:ascii="Times New Roman" w:hAnsi="Times New Roman" w:eastAsia="宋体" w:cs="Times New Roman"/>
                <w:snapToGrid w:val="0"/>
                <w:color w:val="auto"/>
                <w:kern w:val="0"/>
                <w:highlight w:val="none"/>
                <w:lang w:val="en-US" w:eastAsia="zh-CN"/>
              </w:rPr>
              <w:t>白马</w:t>
            </w:r>
            <w:r>
              <w:rPr>
                <w:rFonts w:hint="default" w:ascii="Times New Roman" w:hAnsi="Times New Roman" w:eastAsia="宋体" w:cs="Times New Roman"/>
                <w:snapToGrid w:val="0"/>
                <w:color w:val="auto"/>
                <w:kern w:val="0"/>
                <w:highlight w:val="none"/>
                <w:lang w:val="en-US" w:eastAsia="zh-CN"/>
              </w:rPr>
              <w:t>港，划定为四类区，其主导功能为港口、一般工业用水，执行《海水水质标准》（GB3097-1997）第三类海水水质标准</w:t>
            </w:r>
            <w:r>
              <w:rPr>
                <w:rFonts w:hint="eastAsia" w:ascii="Times New Roman" w:hAnsi="Times New Roman" w:eastAsia="宋体" w:cs="Times New Roman"/>
                <w:snapToGrid w:val="0"/>
                <w:color w:val="auto"/>
                <w:kern w:val="0"/>
                <w:highlight w:val="none"/>
                <w:lang w:val="en-US" w:eastAsia="zh-CN"/>
              </w:rPr>
              <w:t>，海域沉积物执行《海洋沉积物质量》（GB18668-2002）第二类标准。</w:t>
            </w:r>
          </w:p>
          <w:p>
            <w:pPr>
              <w:pStyle w:val="80"/>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海水水质中除无机氮和活性磷酸盐存在超标外，其余各监测项目都可以达到《海水水质标准》（GB 3097-1997）第三类标准。该海域无机氮和活性磷酸盐超标的主要原因，可能受规划区地附近海域沿岸村庄生活污水排放，三都澳口小腹大水体交换能力差的影响。</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3.1.3  声环境</w:t>
            </w:r>
          </w:p>
          <w:p>
            <w:pPr>
              <w:pStyle w:val="4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cs="Times New Roman"/>
                <w:snapToGrid w:val="0"/>
                <w:color w:val="auto"/>
                <w:kern w:val="0"/>
                <w:sz w:val="24"/>
                <w:szCs w:val="24"/>
                <w:highlight w:val="none"/>
                <w:lang w:val="en-US" w:eastAsia="zh-CN" w:bidi="ar-SA"/>
              </w:rPr>
              <w:t>本项目</w:t>
            </w:r>
            <w:r>
              <w:rPr>
                <w:rFonts w:hint="default" w:ascii="Times New Roman" w:hAnsi="Times New Roman" w:eastAsia="宋体" w:cs="Times New Roman"/>
                <w:snapToGrid w:val="0"/>
                <w:color w:val="auto"/>
                <w:kern w:val="0"/>
                <w:sz w:val="24"/>
                <w:szCs w:val="24"/>
                <w:highlight w:val="none"/>
                <w:lang w:val="en-GB" w:eastAsia="zh-CN" w:bidi="ar-SA"/>
              </w:rPr>
              <w:t>位于</w:t>
            </w:r>
            <w:r>
              <w:rPr>
                <w:rFonts w:hint="default" w:ascii="Times New Roman" w:hAnsi="Times New Roman" w:eastAsia="宋体" w:cs="Times New Roman"/>
                <w:snapToGrid w:val="0"/>
                <w:color w:val="auto"/>
                <w:kern w:val="0"/>
                <w:sz w:val="24"/>
                <w:szCs w:val="24"/>
                <w:highlight w:val="none"/>
                <w:lang w:val="en-US" w:eastAsia="zh-CN" w:bidi="ar-SA"/>
              </w:rPr>
              <w:t>福建省</w:t>
            </w:r>
            <w:r>
              <w:rPr>
                <w:rFonts w:hint="eastAsia" w:ascii="Times New Roman" w:hAnsi="Times New Roman" w:eastAsia="宋体" w:cs="Times New Roman"/>
                <w:snapToGrid w:val="0"/>
                <w:color w:val="auto"/>
                <w:kern w:val="0"/>
                <w:sz w:val="24"/>
                <w:szCs w:val="24"/>
                <w:highlight w:val="none"/>
                <w:lang w:val="en-US" w:eastAsia="zh-CN" w:bidi="ar-SA"/>
              </w:rPr>
              <w:t>宁德</w:t>
            </w:r>
            <w:r>
              <w:rPr>
                <w:rFonts w:hint="default" w:ascii="Times New Roman" w:hAnsi="Times New Roman" w:eastAsia="宋体" w:cs="Times New Roman"/>
                <w:snapToGrid w:val="0"/>
                <w:color w:val="auto"/>
                <w:kern w:val="0"/>
                <w:sz w:val="24"/>
                <w:szCs w:val="24"/>
                <w:highlight w:val="none"/>
                <w:lang w:val="en-US" w:eastAsia="zh-CN" w:bidi="ar-SA"/>
              </w:rPr>
              <w:t>市福安市湾坞镇上洋村</w:t>
            </w:r>
            <w:r>
              <w:rPr>
                <w:rFonts w:hint="eastAsia" w:ascii="Times New Roman" w:hAnsi="Times New Roman" w:eastAsia="宋体" w:cs="Times New Roman"/>
                <w:snapToGrid w:val="0"/>
                <w:color w:val="auto"/>
                <w:kern w:val="0"/>
                <w:sz w:val="24"/>
                <w:szCs w:val="24"/>
                <w:highlight w:val="none"/>
                <w:lang w:val="en-US" w:eastAsia="zh-CN" w:bidi="ar-SA"/>
              </w:rPr>
              <w:t>福安市青拓环保建材有限公司厂区内</w:t>
            </w:r>
            <w:r>
              <w:rPr>
                <w:rFonts w:hint="default" w:ascii="Times New Roman" w:hAnsi="Times New Roman" w:eastAsia="宋体" w:cs="Times New Roman"/>
                <w:snapToGrid w:val="0"/>
                <w:color w:val="auto"/>
                <w:kern w:val="0"/>
                <w:sz w:val="24"/>
                <w:szCs w:val="24"/>
                <w:highlight w:val="none"/>
                <w:lang w:val="en-GB" w:eastAsia="zh-CN" w:bidi="ar-SA"/>
              </w:rPr>
              <w:t>，厂界声环境执行《声环境质量标准》（GB3096-2008）3类标准。项目用地红线外</w:t>
            </w:r>
            <w:r>
              <w:rPr>
                <w:rFonts w:hint="eastAsia" w:ascii="Times New Roman" w:hAnsi="Times New Roman" w:eastAsia="宋体" w:cs="Times New Roman"/>
                <w:snapToGrid w:val="0"/>
                <w:color w:val="auto"/>
                <w:kern w:val="0"/>
                <w:sz w:val="24"/>
                <w:szCs w:val="24"/>
                <w:highlight w:val="none"/>
                <w:lang w:val="en-US" w:eastAsia="zh-CN" w:bidi="ar-SA"/>
              </w:rPr>
              <w:t>5</w:t>
            </w:r>
            <w:r>
              <w:rPr>
                <w:rFonts w:hint="default" w:ascii="Times New Roman" w:hAnsi="Times New Roman" w:eastAsia="宋体" w:cs="Times New Roman"/>
                <w:snapToGrid w:val="0"/>
                <w:color w:val="auto"/>
                <w:kern w:val="0"/>
                <w:sz w:val="24"/>
                <w:szCs w:val="24"/>
                <w:highlight w:val="none"/>
                <w:lang w:val="en-GB" w:eastAsia="zh-CN" w:bidi="ar-SA"/>
              </w:rPr>
              <w:t>0m范围内无噪声敏感点分布</w:t>
            </w:r>
            <w:r>
              <w:rPr>
                <w:rFonts w:hint="eastAsia" w:ascii="Times New Roman" w:hAnsi="Times New Roman" w:eastAsia="宋体" w:cs="Times New Roman"/>
                <w:b w:val="0"/>
                <w:bCs/>
                <w:snapToGrid w:val="0"/>
                <w:color w:val="auto"/>
                <w:kern w:val="0"/>
                <w:sz w:val="24"/>
                <w:szCs w:val="24"/>
                <w:highlight w:val="none"/>
                <w:lang w:val="en-US" w:eastAsia="zh-CN" w:bidi="ar-SA"/>
              </w:rPr>
              <w:t>，</w:t>
            </w:r>
            <w:r>
              <w:rPr>
                <w:rFonts w:hint="eastAsia" w:eastAsia="宋体" w:cs="Times New Roman"/>
                <w:b w:val="0"/>
                <w:bCs/>
                <w:snapToGrid w:val="0"/>
                <w:color w:val="auto"/>
                <w:kern w:val="0"/>
                <w:sz w:val="24"/>
                <w:szCs w:val="24"/>
                <w:highlight w:val="none"/>
                <w:lang w:val="en-US" w:eastAsia="zh-CN" w:bidi="ar-SA"/>
              </w:rPr>
              <w:t>最近敏感目标上洋村距离厂界760m，</w:t>
            </w:r>
            <w:r>
              <w:rPr>
                <w:rFonts w:hint="default" w:ascii="Times New Roman" w:hAnsi="Times New Roman" w:eastAsia="宋体" w:cs="Times New Roman"/>
                <w:snapToGrid w:val="0"/>
                <w:color w:val="auto"/>
                <w:kern w:val="0"/>
                <w:sz w:val="24"/>
                <w:szCs w:val="24"/>
                <w:highlight w:val="none"/>
                <w:lang w:val="en-US" w:eastAsia="zh-CN" w:bidi="ar-SA"/>
              </w:rPr>
              <w:t>根据《建设项目环境影响报告表编制技术指南（污染影响类）》（试行），敏感目标超过50m可以不用噪声现状监测。</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《声环境质量标准》(GB3096-2008)</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4659"/>
              <w:gridCol w:w="1517"/>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9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功能区</w:t>
                  </w:r>
                </w:p>
              </w:tc>
              <w:tc>
                <w:tcPr>
                  <w:tcW w:w="278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适用区域</w:t>
                  </w:r>
                </w:p>
              </w:tc>
              <w:tc>
                <w:tcPr>
                  <w:tcW w:w="1617"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等效声级Leq（dB（A））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278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 间</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6"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3类</w:t>
                  </w:r>
                </w:p>
              </w:tc>
              <w:tc>
                <w:tcPr>
                  <w:tcW w:w="2785" w:type="pct"/>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指以工业生产、仓储物流为主要功能，需要防止工业噪声对周围环境产生严重影响的区域。</w:t>
                  </w:r>
                </w:p>
              </w:tc>
              <w:tc>
                <w:tcPr>
                  <w:tcW w:w="90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710"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r>
          </w:tbl>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74" w:name="_Toc1724"/>
            <w:bookmarkStart w:id="75" w:name="_Toc27810"/>
            <w:bookmarkStart w:id="76" w:name="_Toc22046"/>
            <w:bookmarkStart w:id="77" w:name="_Toc8386"/>
            <w:r>
              <w:rPr>
                <w:rFonts w:hint="default" w:ascii="Times New Roman" w:hAnsi="Times New Roman" w:eastAsia="宋体" w:cs="Times New Roman"/>
                <w:b/>
                <w:bCs/>
                <w:color w:val="auto"/>
                <w:highlight w:val="none"/>
                <w:lang w:val="en-US" w:eastAsia="zh-CN"/>
              </w:rPr>
              <w:t>3.1.</w:t>
            </w:r>
            <w:r>
              <w:rPr>
                <w:rFonts w:hint="eastAsia"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 xml:space="preserve">  地表水环境质量现状</w:t>
            </w:r>
            <w:bookmarkEnd w:id="74"/>
            <w:bookmarkEnd w:id="75"/>
            <w:bookmarkEnd w:id="76"/>
            <w:bookmarkEnd w:id="77"/>
          </w:p>
          <w:p>
            <w:pPr>
              <w:pStyle w:val="80"/>
              <w:rPr>
                <w:rFonts w:hint="default"/>
                <w:color w:val="0000FF"/>
              </w:rPr>
            </w:pPr>
            <w:r>
              <w:rPr>
                <w:rFonts w:hint="default" w:ascii="Times New Roman" w:hAnsi="Times New Roman" w:eastAsia="宋体" w:cs="Times New Roman"/>
                <w:snapToGrid w:val="0"/>
                <w:color w:val="auto"/>
                <w:kern w:val="0"/>
                <w:highlight w:val="none"/>
                <w:lang w:val="en-US" w:eastAsia="zh-CN"/>
              </w:rPr>
              <w:t>本项目运营期没有生产废水排放，</w:t>
            </w:r>
            <w:r>
              <w:rPr>
                <w:rFonts w:hint="eastAsia" w:ascii="Times New Roman" w:hAnsi="Times New Roman" w:eastAsia="宋体" w:cs="Times New Roman"/>
                <w:snapToGrid w:val="0"/>
                <w:color w:val="auto"/>
                <w:kern w:val="0"/>
                <w:highlight w:val="none"/>
                <w:lang w:val="en-US" w:eastAsia="zh-CN"/>
              </w:rPr>
              <w:t>无新增</w:t>
            </w:r>
            <w:r>
              <w:rPr>
                <w:rFonts w:hint="default" w:ascii="Times New Roman" w:hAnsi="Times New Roman" w:eastAsia="宋体" w:cs="Times New Roman"/>
                <w:snapToGrid w:val="0"/>
                <w:color w:val="auto"/>
                <w:kern w:val="0"/>
                <w:highlight w:val="none"/>
                <w:lang w:val="en-US" w:eastAsia="zh-CN"/>
              </w:rPr>
              <w:t>员工</w:t>
            </w:r>
            <w:r>
              <w:rPr>
                <w:rFonts w:hint="eastAsia" w:ascii="Times New Roman" w:hAnsi="Times New Roman" w:eastAsia="宋体" w:cs="Times New Roman"/>
                <w:snapToGrid w:val="0"/>
                <w:color w:val="auto"/>
                <w:kern w:val="0"/>
                <w:highlight w:val="none"/>
                <w:lang w:val="en-US" w:eastAsia="zh-CN"/>
              </w:rPr>
              <w:t>，</w:t>
            </w:r>
            <w:r>
              <w:rPr>
                <w:rFonts w:hint="default" w:ascii="Times New Roman" w:hAnsi="Times New Roman" w:eastAsia="宋体" w:cs="Times New Roman"/>
                <w:snapToGrid w:val="0"/>
                <w:color w:val="auto"/>
                <w:kern w:val="0"/>
                <w:highlight w:val="none"/>
                <w:lang w:val="en-US" w:eastAsia="zh-CN"/>
              </w:rPr>
              <w:t>生活污水的排放量和排放参数基本不变。对项目周边的地表水环境产生影响很小，因此项目地表水环境评价等级为不定级。</w:t>
            </w:r>
            <w:bookmarkEnd w:id="63"/>
            <w:bookmarkEnd w:id="64"/>
            <w:bookmarkEnd w:id="65"/>
            <w:bookmarkEnd w:id="66"/>
            <w:bookmarkEnd w:id="67"/>
            <w:bookmarkEnd w:id="68"/>
            <w:bookmarkEnd w:id="69"/>
            <w:bookmarkEnd w:id="7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374" w:type="pct"/>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adjustRightInd w:val="0"/>
              <w:snapToGrid w:val="0"/>
              <w:jc w:val="center"/>
              <w:rPr>
                <w:rFonts w:hint="default" w:ascii="Times New Roman" w:hAnsi="Times New Roman" w:cs="Times New Roman"/>
                <w:color w:val="0000FF"/>
                <w:kern w:val="0"/>
                <w:sz w:val="24"/>
                <w:szCs w:val="24"/>
              </w:rPr>
            </w:pPr>
            <w:r>
              <w:rPr>
                <w:rFonts w:hint="default" w:ascii="Times New Roman" w:hAnsi="Times New Roman" w:cs="Times New Roman"/>
                <w:color w:val="auto"/>
                <w:kern w:val="0"/>
                <w:sz w:val="24"/>
                <w:szCs w:val="24"/>
              </w:rPr>
              <w:t>目标</w:t>
            </w:r>
          </w:p>
        </w:tc>
        <w:tc>
          <w:tcPr>
            <w:tcW w:w="4625" w:type="pct"/>
            <w:noWrap w:val="0"/>
            <w:vAlign w:val="center"/>
          </w:tcPr>
          <w:p>
            <w:pPr>
              <w:pStyle w:val="4"/>
              <w:keepNext/>
              <w:keepLines/>
              <w:pageBreakBefore w:val="0"/>
              <w:widowControl w:val="0"/>
              <w:numPr>
                <w:ilvl w:val="0"/>
                <w:numId w:val="0"/>
              </w:numPr>
              <w:tabs>
                <w:tab w:val="left" w:pos="900"/>
              </w:tabs>
              <w:kinsoku/>
              <w:wordWrap/>
              <w:overflowPunct/>
              <w:topLinePunct w:val="0"/>
              <w:autoSpaceDE/>
              <w:autoSpaceDN/>
              <w:bidi w:val="0"/>
              <w:adjustRightInd w:val="0"/>
              <w:snapToGrid w:val="0"/>
              <w:spacing w:before="219" w:beforeLines="70" w:after="219" w:afterLines="70" w:line="240" w:lineRule="auto"/>
              <w:jc w:val="left"/>
              <w:textAlignment w:val="auto"/>
              <w:rPr>
                <w:rFonts w:hint="default" w:ascii="Times New Roman" w:hAnsi="Times New Roman" w:eastAsia="宋体" w:cs="Times New Roman"/>
                <w:b/>
                <w:bCs/>
                <w:smallCaps/>
                <w:snapToGrid/>
                <w:color w:val="auto"/>
                <w:sz w:val="30"/>
                <w:szCs w:val="30"/>
                <w:highlight w:val="none"/>
              </w:rPr>
            </w:pPr>
            <w:bookmarkStart w:id="78" w:name="_Toc5094"/>
            <w:bookmarkStart w:id="79" w:name="_Toc27143"/>
            <w:bookmarkStart w:id="80" w:name="_Toc7866"/>
            <w:bookmarkStart w:id="81" w:name="_Toc19150"/>
            <w:r>
              <w:rPr>
                <w:rFonts w:hint="default" w:ascii="Times New Roman" w:hAnsi="Times New Roman" w:eastAsia="宋体" w:cs="Times New Roman"/>
                <w:b/>
                <w:bCs/>
                <w:smallCaps/>
                <w:snapToGrid/>
                <w:color w:val="auto"/>
                <w:sz w:val="30"/>
                <w:szCs w:val="30"/>
                <w:highlight w:val="none"/>
              </w:rPr>
              <w:t>3.2  环境保护目标</w:t>
            </w:r>
            <w:bookmarkEnd w:id="78"/>
            <w:bookmarkEnd w:id="79"/>
            <w:bookmarkEnd w:id="80"/>
            <w:bookmarkEnd w:id="81"/>
          </w:p>
          <w:p>
            <w:pPr>
              <w:pStyle w:val="8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eastAsia="黑体" w:cs="Times New Roman"/>
                <w:color w:val="0000FF"/>
                <w:kern w:val="0"/>
                <w:sz w:val="28"/>
                <w:szCs w:val="28"/>
                <w:lang w:val="en-US"/>
              </w:rPr>
            </w:pPr>
            <w:r>
              <w:rPr>
                <w:rFonts w:hint="default" w:ascii="Times New Roman" w:hAnsi="Times New Roman" w:eastAsia="宋体" w:cs="Times New Roman"/>
                <w:color w:val="auto"/>
                <w:kern w:val="0"/>
                <w:sz w:val="24"/>
                <w:szCs w:val="24"/>
                <w:lang w:val="en-US" w:eastAsia="zh-CN" w:bidi="ar-SA"/>
              </w:rPr>
              <w:t>根据现场</w:t>
            </w:r>
            <w:r>
              <w:rPr>
                <w:rFonts w:hint="eastAsia" w:ascii="Times New Roman" w:hAnsi="Times New Roman" w:eastAsia="宋体" w:cs="Times New Roman"/>
                <w:color w:val="auto"/>
                <w:kern w:val="0"/>
                <w:sz w:val="24"/>
                <w:szCs w:val="24"/>
                <w:lang w:val="en-US" w:eastAsia="zh-CN" w:bidi="ar-SA"/>
              </w:rPr>
              <w:t>踏勘</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最近居民点位于本项目东侧距离厂界760米。厂界外500米范围内，无自然保护区、风景名胜区、居住区、文化区和农村地区中人群较集中的区域；无地下水集中式饮用水水源和热水、矿泉水、温泉等特殊地下水资源。厂界外50米范围内无声环境保护目标。</w:t>
            </w:r>
            <w:r>
              <w:rPr>
                <w:rFonts w:hint="default" w:ascii="Times New Roman" w:hAnsi="Times New Roman" w:eastAsia="宋体" w:cs="Times New Roman"/>
                <w:color w:val="auto"/>
                <w:kern w:val="0"/>
                <w:sz w:val="24"/>
                <w:szCs w:val="24"/>
                <w:lang w:val="en-US" w:eastAsia="zh-CN" w:bidi="ar-SA"/>
              </w:rPr>
              <w:t>本项目</w:t>
            </w:r>
            <w:r>
              <w:rPr>
                <w:rFonts w:hint="eastAsia"/>
                <w:lang w:val="en-US" w:eastAsia="zh-CN"/>
              </w:rPr>
              <w:t>周边环境关系图</w:t>
            </w:r>
            <w:r>
              <w:rPr>
                <w:rFonts w:hint="default" w:ascii="Times New Roman" w:hAnsi="Times New Roman" w:eastAsia="宋体" w:cs="Times New Roman"/>
                <w:color w:val="auto"/>
                <w:kern w:val="0"/>
                <w:sz w:val="24"/>
                <w:szCs w:val="24"/>
                <w:lang w:val="en-US" w:eastAsia="zh-CN" w:bidi="ar-SA"/>
              </w:rPr>
              <w:t>见</w:t>
            </w:r>
            <w:r>
              <w:rPr>
                <w:rFonts w:hint="eastAsia" w:ascii="Times New Roman" w:hAnsi="Times New Roman" w:cs="Times New Roman"/>
                <w:color w:val="auto"/>
                <w:kern w:val="0"/>
                <w:sz w:val="24"/>
                <w:szCs w:val="24"/>
                <w:lang w:val="en-US" w:eastAsia="zh-CN" w:bidi="ar-SA"/>
              </w:rPr>
              <w:t>图3.2-1</w:t>
            </w:r>
            <w:r>
              <w:rPr>
                <w:rFonts w:hint="eastAsia" w:ascii="Times New Roman" w:hAnsi="Times New Roman" w:cs="Times New Roman"/>
                <w:color w:val="auto"/>
                <w:kern w:val="0"/>
                <w:sz w:val="24"/>
                <w:highlight w:val="none"/>
                <w:lang w:val="en-US" w:eastAsia="zh-CN"/>
              </w:rPr>
              <w:t>，</w:t>
            </w:r>
            <w:r>
              <w:rPr>
                <w:rFonts w:hint="eastAsia"/>
                <w:lang w:val="en-US" w:eastAsia="zh-CN"/>
              </w:rPr>
              <w:t>项目周边环境现状</w:t>
            </w:r>
            <w:r>
              <w:rPr>
                <w:rFonts w:hint="default" w:ascii="Times New Roman" w:hAnsi="Times New Roman" w:eastAsia="宋体" w:cs="Times New Roman"/>
                <w:color w:val="auto"/>
                <w:kern w:val="0"/>
                <w:sz w:val="24"/>
                <w:szCs w:val="24"/>
                <w:lang w:val="en-US" w:eastAsia="zh-CN" w:bidi="ar-SA"/>
              </w:rPr>
              <w:t>见</w:t>
            </w:r>
            <w:r>
              <w:rPr>
                <w:rFonts w:hint="eastAsia" w:ascii="Times New Roman" w:hAnsi="Times New Roman" w:cs="Times New Roman"/>
                <w:color w:val="auto"/>
                <w:kern w:val="0"/>
                <w:sz w:val="24"/>
                <w:szCs w:val="24"/>
                <w:lang w:val="en-US" w:eastAsia="zh-CN" w:bidi="ar-SA"/>
              </w:rPr>
              <w:t>图3.2-2</w:t>
            </w:r>
            <w:r>
              <w:rPr>
                <w:rFonts w:hint="eastAsia" w:ascii="Times New Roman" w:hAnsi="Times New Roman" w:cs="Times New Roman"/>
                <w:color w:val="auto"/>
                <w:kern w:val="0"/>
                <w:sz w:val="24"/>
                <w:highlight w:val="none"/>
                <w:lang w:val="en-US" w:eastAsia="zh-CN"/>
              </w:rPr>
              <w:t>。</w:t>
            </w:r>
          </w:p>
        </w:tc>
      </w:tr>
    </w:tbl>
    <w:p>
      <w:pPr>
        <w:sectPr>
          <w:pgSz w:w="11907" w:h="16840"/>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p>
    <w:p>
      <w:pPr>
        <w:pStyle w:val="2"/>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drawing>
          <wp:inline distT="0" distB="0" distL="114300" distR="114300">
            <wp:extent cx="6885305" cy="5258435"/>
            <wp:effectExtent l="0" t="0" r="10795" b="18415"/>
            <wp:docPr id="40" name="图片 40" descr="环境保护目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环境保护目标"/>
                    <pic:cNvPicPr>
                      <a:picLocks noChangeAspect="1"/>
                    </pic:cNvPicPr>
                  </pic:nvPicPr>
                  <pic:blipFill>
                    <a:blip r:embed="rId18"/>
                    <a:srcRect l="16912" t="4973" r="17134" b="5469"/>
                    <a:stretch>
                      <a:fillRect/>
                    </a:stretch>
                  </pic:blipFill>
                  <pic:spPr>
                    <a:xfrm>
                      <a:off x="0" y="0"/>
                      <a:ext cx="6885305" cy="5258435"/>
                    </a:xfrm>
                    <a:prstGeom prst="rect">
                      <a:avLst/>
                    </a:prstGeom>
                  </pic:spPr>
                </pic:pic>
              </a:graphicData>
            </a:graphic>
          </wp:inline>
        </w:drawing>
      </w:r>
    </w:p>
    <w:p>
      <w:pPr>
        <w:jc w:val="center"/>
        <w:rPr>
          <w:rFonts w:hint="default" w:ascii="Times New Roman" w:hAnsi="Times New Roman" w:cs="Times New Roman"/>
          <w:b/>
          <w:bCs/>
          <w:color w:val="auto"/>
          <w:highlight w:val="none"/>
          <w:lang w:val="en-US" w:eastAsia="zh-CN"/>
        </w:rPr>
        <w:sectPr>
          <w:pgSz w:w="16840"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r>
        <w:rPr>
          <w:rFonts w:hint="default" w:ascii="Times New Roman" w:hAnsi="Times New Roman" w:cs="Times New Roman"/>
          <w:b/>
          <w:bCs/>
          <w:color w:val="auto"/>
          <w:highlight w:val="none"/>
          <w:lang w:val="en-US" w:eastAsia="zh-CN"/>
        </w:rPr>
        <w:t>图3.2-1 周边环境关系图</w:t>
      </w:r>
    </w:p>
    <w:tbl>
      <w:tblPr>
        <w:tblStyle w:val="33"/>
        <w:tblW w:w="9288" w:type="dxa"/>
        <w:jc w:val="center"/>
        <w:tblLayout w:type="fixed"/>
        <w:tblCellMar>
          <w:top w:w="0" w:type="dxa"/>
          <w:left w:w="108" w:type="dxa"/>
          <w:bottom w:w="0" w:type="dxa"/>
          <w:right w:w="108" w:type="dxa"/>
        </w:tblCellMar>
      </w:tblPr>
      <w:tblGrid>
        <w:gridCol w:w="4644"/>
        <w:gridCol w:w="4644"/>
      </w:tblGrid>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drawing>
                <wp:inline distT="0" distB="0" distL="114300" distR="114300">
                  <wp:extent cx="2765425" cy="2073910"/>
                  <wp:effectExtent l="0" t="0" r="15875" b="2540"/>
                  <wp:docPr id="75" name="图片 75" descr="4cc3cf365ef2f518485d09bf85ad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cc3cf365ef2f518485d09bf85ad9e8"/>
                          <pic:cNvPicPr>
                            <a:picLocks noChangeAspect="1"/>
                          </pic:cNvPicPr>
                        </pic:nvPicPr>
                        <pic:blipFill>
                          <a:blip r:embed="rId19"/>
                          <a:stretch>
                            <a:fillRect/>
                          </a:stretch>
                        </pic:blipFill>
                        <pic:spPr>
                          <a:xfrm>
                            <a:off x="0" y="0"/>
                            <a:ext cx="2765425" cy="2073910"/>
                          </a:xfrm>
                          <a:prstGeom prst="rect">
                            <a:avLst/>
                          </a:prstGeom>
                        </pic:spPr>
                      </pic:pic>
                    </a:graphicData>
                  </a:graphic>
                </wp:inline>
              </w:drawing>
            </w:r>
          </w:p>
        </w:tc>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drawing>
                <wp:inline distT="0" distB="0" distL="114300" distR="114300">
                  <wp:extent cx="2765425" cy="2073910"/>
                  <wp:effectExtent l="0" t="0" r="15875" b="2540"/>
                  <wp:docPr id="76" name="图片 76" descr="c8012cb8cb0138ab3420e15654ae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8012cb8cb0138ab3420e15654ae7d5"/>
                          <pic:cNvPicPr>
                            <a:picLocks noChangeAspect="1"/>
                          </pic:cNvPicPr>
                        </pic:nvPicPr>
                        <pic:blipFill>
                          <a:blip r:embed="rId20"/>
                          <a:stretch>
                            <a:fillRect/>
                          </a:stretch>
                        </pic:blipFill>
                        <pic:spPr>
                          <a:xfrm>
                            <a:off x="0" y="0"/>
                            <a:ext cx="2765425" cy="2073910"/>
                          </a:xfrm>
                          <a:prstGeom prst="rect">
                            <a:avLst/>
                          </a:prstGeom>
                        </pic:spPr>
                      </pic:pic>
                    </a:graphicData>
                  </a:graphic>
                </wp:inline>
              </w:drawing>
            </w:r>
          </w:p>
        </w:tc>
      </w:tr>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矿渣堆棚东侧大门</w:t>
            </w:r>
          </w:p>
        </w:tc>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项目东侧</w:t>
            </w:r>
          </w:p>
        </w:tc>
      </w:tr>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drawing>
                <wp:inline distT="0" distB="0" distL="114300" distR="114300">
                  <wp:extent cx="2765425" cy="2073910"/>
                  <wp:effectExtent l="0" t="0" r="15875" b="2540"/>
                  <wp:docPr id="77" name="图片 77" descr="799afdfc1bc4149acb6ebcf03e60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799afdfc1bc4149acb6ebcf03e6040b"/>
                          <pic:cNvPicPr>
                            <a:picLocks noChangeAspect="1"/>
                          </pic:cNvPicPr>
                        </pic:nvPicPr>
                        <pic:blipFill>
                          <a:blip r:embed="rId21"/>
                          <a:stretch>
                            <a:fillRect/>
                          </a:stretch>
                        </pic:blipFill>
                        <pic:spPr>
                          <a:xfrm>
                            <a:off x="0" y="0"/>
                            <a:ext cx="2765425" cy="2073910"/>
                          </a:xfrm>
                          <a:prstGeom prst="rect">
                            <a:avLst/>
                          </a:prstGeom>
                        </pic:spPr>
                      </pic:pic>
                    </a:graphicData>
                  </a:graphic>
                </wp:inline>
              </w:drawing>
            </w:r>
          </w:p>
        </w:tc>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drawing>
                <wp:inline distT="0" distB="0" distL="114300" distR="114300">
                  <wp:extent cx="2765425" cy="2073910"/>
                  <wp:effectExtent l="0" t="0" r="15875" b="2540"/>
                  <wp:docPr id="78" name="图片 78" descr="78e1aa526b7a60950072dc7c0c1f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78e1aa526b7a60950072dc7c0c1ff1f"/>
                          <pic:cNvPicPr>
                            <a:picLocks noChangeAspect="1"/>
                          </pic:cNvPicPr>
                        </pic:nvPicPr>
                        <pic:blipFill>
                          <a:blip r:embed="rId22"/>
                          <a:stretch>
                            <a:fillRect/>
                          </a:stretch>
                        </pic:blipFill>
                        <pic:spPr>
                          <a:xfrm>
                            <a:off x="0" y="0"/>
                            <a:ext cx="2765425" cy="2073910"/>
                          </a:xfrm>
                          <a:prstGeom prst="rect">
                            <a:avLst/>
                          </a:prstGeom>
                        </pic:spPr>
                      </pic:pic>
                    </a:graphicData>
                  </a:graphic>
                </wp:inline>
              </w:drawing>
            </w:r>
          </w:p>
        </w:tc>
      </w:tr>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auto"/>
                <w:sz w:val="21"/>
                <w:szCs w:val="21"/>
                <w:lang w:eastAsia="zh-CN"/>
              </w:rPr>
            </w:pPr>
            <w:r>
              <w:rPr>
                <w:rFonts w:hint="eastAsia" w:cs="Times New Roman"/>
                <w:color w:val="auto"/>
                <w:kern w:val="2"/>
                <w:sz w:val="21"/>
                <w:szCs w:val="21"/>
                <w:lang w:val="en-US" w:eastAsia="zh-CN" w:bidi="ar-SA"/>
              </w:rPr>
              <w:t>项目西侧</w:t>
            </w:r>
          </w:p>
        </w:tc>
        <w:tc>
          <w:tcPr>
            <w:tcW w:w="4644"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项目北侧</w:t>
            </w:r>
          </w:p>
        </w:tc>
      </w:tr>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auto"/>
                <w:kern w:val="2"/>
                <w:sz w:val="21"/>
                <w:szCs w:val="21"/>
                <w:lang w:val="en-US" w:eastAsia="zh-CN" w:bidi="ar-SA"/>
              </w:rPr>
              <w:drawing>
                <wp:inline distT="0" distB="0" distL="114300" distR="114300">
                  <wp:extent cx="2765425" cy="2073910"/>
                  <wp:effectExtent l="0" t="0" r="15875" b="2540"/>
                  <wp:docPr id="79" name="图片 79" descr="1b559738b58757e7e8e3cdfd4c3f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b559738b58757e7e8e3cdfd4c3fc20"/>
                          <pic:cNvPicPr>
                            <a:picLocks noChangeAspect="1"/>
                          </pic:cNvPicPr>
                        </pic:nvPicPr>
                        <pic:blipFill>
                          <a:blip r:embed="rId23"/>
                          <a:stretch>
                            <a:fillRect/>
                          </a:stretch>
                        </pic:blipFill>
                        <pic:spPr>
                          <a:xfrm>
                            <a:off x="0" y="0"/>
                            <a:ext cx="2765425" cy="2073910"/>
                          </a:xfrm>
                          <a:prstGeom prst="rect">
                            <a:avLst/>
                          </a:prstGeom>
                        </pic:spPr>
                      </pic:pic>
                    </a:graphicData>
                  </a:graphic>
                </wp:inline>
              </w:drawing>
            </w:r>
          </w:p>
        </w:tc>
        <w:tc>
          <w:tcPr>
            <w:tcW w:w="4644" w:type="dxa"/>
            <w:noWrap w:val="0"/>
            <w:vAlign w:val="center"/>
          </w:tcPr>
          <w:p>
            <w:pPr>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FF0000"/>
                <w:sz w:val="21"/>
                <w:szCs w:val="21"/>
                <w:lang w:eastAsia="zh-CN"/>
              </w:rPr>
              <w:drawing>
                <wp:inline distT="0" distB="0" distL="114300" distR="114300">
                  <wp:extent cx="2765425" cy="2073910"/>
                  <wp:effectExtent l="0" t="0" r="15875" b="2540"/>
                  <wp:docPr id="80" name="图片 80" descr="04de56517e201e2c9c516b44aa04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4de56517e201e2c9c516b44aa04fde"/>
                          <pic:cNvPicPr>
                            <a:picLocks noChangeAspect="1"/>
                          </pic:cNvPicPr>
                        </pic:nvPicPr>
                        <pic:blipFill>
                          <a:blip r:embed="rId24"/>
                          <a:stretch>
                            <a:fillRect/>
                          </a:stretch>
                        </pic:blipFill>
                        <pic:spPr>
                          <a:xfrm>
                            <a:off x="0" y="0"/>
                            <a:ext cx="2765425" cy="2073910"/>
                          </a:xfrm>
                          <a:prstGeom prst="rect">
                            <a:avLst/>
                          </a:prstGeom>
                        </pic:spPr>
                      </pic:pic>
                    </a:graphicData>
                  </a:graphic>
                </wp:inline>
              </w:drawing>
            </w:r>
          </w:p>
        </w:tc>
      </w:tr>
      <w:tr>
        <w:tblPrEx>
          <w:tblCellMar>
            <w:top w:w="0" w:type="dxa"/>
            <w:left w:w="108" w:type="dxa"/>
            <w:bottom w:w="0" w:type="dxa"/>
            <w:right w:w="108" w:type="dxa"/>
          </w:tblCellMar>
        </w:tblPrEx>
        <w:trPr>
          <w:trHeight w:val="363" w:hRule="atLeast"/>
          <w:jc w:val="center"/>
        </w:trPr>
        <w:tc>
          <w:tcPr>
            <w:tcW w:w="9288" w:type="dxa"/>
            <w:gridSpan w:val="2"/>
            <w:noWrap w:val="0"/>
            <w:vAlign w:val="center"/>
          </w:tcPr>
          <w:p>
            <w:pPr>
              <w:jc w:val="center"/>
              <w:rPr>
                <w:rFonts w:hint="default" w:ascii="Times New Roman" w:hAnsi="Times New Roman" w:eastAsia="宋体" w:cs="Times New Roman"/>
                <w:color w:val="auto"/>
                <w:sz w:val="21"/>
                <w:szCs w:val="21"/>
                <w:lang w:eastAsia="zh-CN"/>
              </w:rPr>
            </w:pPr>
            <w:r>
              <w:rPr>
                <w:rFonts w:hint="eastAsia" w:cs="Times New Roman"/>
                <w:color w:val="auto"/>
                <w:kern w:val="2"/>
                <w:sz w:val="21"/>
                <w:szCs w:val="21"/>
                <w:lang w:val="en-US" w:eastAsia="zh-CN" w:bidi="ar-SA"/>
              </w:rPr>
              <w:t>项目南侧</w:t>
            </w:r>
          </w:p>
        </w:tc>
      </w:tr>
      <w:tr>
        <w:tblPrEx>
          <w:tblCellMar>
            <w:top w:w="0" w:type="dxa"/>
            <w:left w:w="108" w:type="dxa"/>
            <w:bottom w:w="0" w:type="dxa"/>
            <w:right w:w="108" w:type="dxa"/>
          </w:tblCellMar>
        </w:tblPrEx>
        <w:trPr>
          <w:trHeight w:val="363" w:hRule="atLeast"/>
          <w:jc w:val="center"/>
        </w:trPr>
        <w:tc>
          <w:tcPr>
            <w:tcW w:w="9288" w:type="dxa"/>
            <w:gridSpan w:val="2"/>
            <w:noWrap w:val="0"/>
            <w:vAlign w:val="center"/>
          </w:tcPr>
          <w:p>
            <w:pPr>
              <w:jc w:val="center"/>
              <w:rPr>
                <w:rFonts w:hint="default" w:ascii="Times New Roman" w:hAnsi="Times New Roman" w:eastAsia="宋体" w:cs="Times New Roman"/>
                <w:color w:val="FF0000"/>
                <w:kern w:val="2"/>
                <w:sz w:val="21"/>
                <w:szCs w:val="21"/>
                <w:lang w:val="en-US" w:eastAsia="zh-CN" w:bidi="ar-SA"/>
              </w:rPr>
            </w:pPr>
            <w:r>
              <w:drawing>
                <wp:inline distT="0" distB="0" distL="114300" distR="114300">
                  <wp:extent cx="5756910" cy="2913380"/>
                  <wp:effectExtent l="0" t="0" r="15240" b="127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25"/>
                          <a:stretch>
                            <a:fillRect/>
                          </a:stretch>
                        </pic:blipFill>
                        <pic:spPr>
                          <a:xfrm>
                            <a:off x="0" y="0"/>
                            <a:ext cx="5756910" cy="29133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63" w:hRule="atLeast"/>
          <w:jc w:val="center"/>
        </w:trPr>
        <w:tc>
          <w:tcPr>
            <w:tcW w:w="9288" w:type="dxa"/>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事故应急池（左）和初期雨水</w:t>
            </w:r>
            <w:r>
              <w:rPr>
                <w:rFonts w:hint="default" w:ascii="Times New Roman" w:hAnsi="Times New Roman" w:eastAsia="宋体" w:cs="Times New Roman"/>
                <w:color w:val="auto"/>
                <w:kern w:val="2"/>
                <w:sz w:val="21"/>
                <w:szCs w:val="21"/>
                <w:lang w:val="en-US" w:eastAsia="zh-CN" w:bidi="ar-SA"/>
              </w:rPr>
              <w:t>池</w:t>
            </w:r>
            <w:r>
              <w:rPr>
                <w:rFonts w:hint="eastAsia" w:cs="Times New Roman"/>
                <w:color w:val="auto"/>
                <w:kern w:val="2"/>
                <w:sz w:val="21"/>
                <w:szCs w:val="21"/>
                <w:lang w:val="en-US" w:eastAsia="zh-CN" w:bidi="ar-SA"/>
              </w:rPr>
              <w:t>（右）</w:t>
            </w:r>
          </w:p>
        </w:tc>
      </w:tr>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FF0000"/>
                <w:kern w:val="2"/>
                <w:sz w:val="21"/>
                <w:szCs w:val="21"/>
                <w:lang w:val="en-US" w:eastAsia="zh-CN" w:bidi="ar-SA"/>
              </w:rPr>
            </w:pPr>
            <w:r>
              <w:drawing>
                <wp:inline distT="0" distB="0" distL="114300" distR="114300">
                  <wp:extent cx="2807335" cy="2105660"/>
                  <wp:effectExtent l="0" t="0" r="12065" b="889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26"/>
                          <a:stretch>
                            <a:fillRect/>
                          </a:stretch>
                        </pic:blipFill>
                        <pic:spPr>
                          <a:xfrm>
                            <a:off x="0" y="0"/>
                            <a:ext cx="2807335" cy="2105660"/>
                          </a:xfrm>
                          <a:prstGeom prst="rect">
                            <a:avLst/>
                          </a:prstGeom>
                          <a:noFill/>
                          <a:ln>
                            <a:noFill/>
                          </a:ln>
                        </pic:spPr>
                      </pic:pic>
                    </a:graphicData>
                  </a:graphic>
                </wp:inline>
              </w:drawing>
            </w:r>
          </w:p>
        </w:tc>
        <w:tc>
          <w:tcPr>
            <w:tcW w:w="4644" w:type="dxa"/>
            <w:noWrap w:val="0"/>
            <w:vAlign w:val="center"/>
          </w:tcPr>
          <w:p>
            <w:pPr>
              <w:jc w:val="center"/>
              <w:rPr>
                <w:rFonts w:hint="default" w:ascii="Times New Roman" w:hAnsi="Times New Roman" w:eastAsia="宋体" w:cs="Times New Roman"/>
                <w:color w:val="FF0000"/>
                <w:kern w:val="2"/>
                <w:sz w:val="21"/>
                <w:szCs w:val="21"/>
                <w:lang w:val="en-US" w:eastAsia="zh-CN" w:bidi="ar-SA"/>
              </w:rPr>
            </w:pPr>
            <w:r>
              <w:drawing>
                <wp:inline distT="0" distB="0" distL="114300" distR="114300">
                  <wp:extent cx="2809875" cy="2107565"/>
                  <wp:effectExtent l="0" t="0" r="9525" b="698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27"/>
                          <a:stretch>
                            <a:fillRect/>
                          </a:stretch>
                        </pic:blipFill>
                        <pic:spPr>
                          <a:xfrm>
                            <a:off x="0" y="0"/>
                            <a:ext cx="2809875" cy="21075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应急物资</w:t>
            </w:r>
          </w:p>
        </w:tc>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地埋式化粪池</w:t>
            </w:r>
          </w:p>
        </w:tc>
      </w:tr>
      <w:tr>
        <w:tblPrEx>
          <w:tblCellMar>
            <w:top w:w="0" w:type="dxa"/>
            <w:left w:w="108" w:type="dxa"/>
            <w:bottom w:w="0" w:type="dxa"/>
            <w:right w:w="108" w:type="dxa"/>
          </w:tblCellMar>
        </w:tblPrEx>
        <w:trPr>
          <w:trHeight w:val="363" w:hRule="atLeast"/>
          <w:jc w:val="center"/>
        </w:trPr>
        <w:tc>
          <w:tcPr>
            <w:tcW w:w="464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drawing>
                <wp:inline distT="0" distB="0" distL="114300" distR="114300">
                  <wp:extent cx="2811780" cy="2099310"/>
                  <wp:effectExtent l="0" t="0" r="7620" b="15240"/>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28"/>
                          <a:stretch>
                            <a:fillRect/>
                          </a:stretch>
                        </pic:blipFill>
                        <pic:spPr>
                          <a:xfrm>
                            <a:off x="0" y="0"/>
                            <a:ext cx="2811780" cy="2099310"/>
                          </a:xfrm>
                          <a:prstGeom prst="rect">
                            <a:avLst/>
                          </a:prstGeom>
                          <a:noFill/>
                          <a:ln>
                            <a:noFill/>
                          </a:ln>
                        </pic:spPr>
                      </pic:pic>
                    </a:graphicData>
                  </a:graphic>
                </wp:inline>
              </w:drawing>
            </w:r>
          </w:p>
        </w:tc>
        <w:tc>
          <w:tcPr>
            <w:tcW w:w="464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2866390" cy="2075180"/>
                  <wp:effectExtent l="0" t="0" r="10160" b="1270"/>
                  <wp:docPr id="85" name="图片 85" descr="16934008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93400839949"/>
                          <pic:cNvPicPr>
                            <a:picLocks noChangeAspect="1"/>
                          </pic:cNvPicPr>
                        </pic:nvPicPr>
                        <pic:blipFill>
                          <a:blip r:embed="rId29"/>
                          <a:stretch>
                            <a:fillRect/>
                          </a:stretch>
                        </pic:blipFill>
                        <pic:spPr>
                          <a:xfrm>
                            <a:off x="0" y="0"/>
                            <a:ext cx="2866390" cy="2075180"/>
                          </a:xfrm>
                          <a:prstGeom prst="rect">
                            <a:avLst/>
                          </a:prstGeom>
                        </pic:spPr>
                      </pic:pic>
                    </a:graphicData>
                  </a:graphic>
                </wp:inline>
              </w:drawing>
            </w:r>
          </w:p>
        </w:tc>
      </w:tr>
      <w:tr>
        <w:tblPrEx>
          <w:tblCellMar>
            <w:top w:w="0" w:type="dxa"/>
            <w:left w:w="108" w:type="dxa"/>
            <w:bottom w:w="0" w:type="dxa"/>
            <w:right w:w="108" w:type="dxa"/>
          </w:tblCellMar>
        </w:tblPrEx>
        <w:trPr>
          <w:trHeight w:val="363" w:hRule="atLeast"/>
          <w:jc w:val="center"/>
        </w:trPr>
        <w:tc>
          <w:tcPr>
            <w:tcW w:w="9288"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危废暂存间</w:t>
            </w:r>
          </w:p>
        </w:tc>
      </w:tr>
    </w:tbl>
    <w:p>
      <w:pPr>
        <w:rPr>
          <w:rFonts w:hint="default" w:ascii="Times New Roman" w:hAnsi="Times New Roman" w:cs="Times New Roman"/>
          <w:b/>
          <w:bCs/>
          <w:color w:val="auto"/>
          <w:highlight w:val="none"/>
          <w:lang w:val="en-US" w:eastAsia="zh-CN"/>
        </w:rPr>
      </w:pPr>
    </w:p>
    <w:p>
      <w:pPr>
        <w:jc w:val="center"/>
      </w:pPr>
      <w:r>
        <w:rPr>
          <w:rFonts w:hint="default" w:ascii="Times New Roman" w:hAnsi="Times New Roman" w:cs="Times New Roman"/>
          <w:b/>
          <w:bCs/>
          <w:color w:val="auto"/>
          <w:highlight w:val="none"/>
          <w:lang w:val="en-US" w:eastAsia="zh-CN"/>
        </w:rPr>
        <w:t>图3.2-</w:t>
      </w:r>
      <w:r>
        <w:rPr>
          <w:rFonts w:hint="eastAsia" w:cs="Times New Roman"/>
          <w:b/>
          <w:bCs/>
          <w:color w:val="auto"/>
          <w:highlight w:val="none"/>
          <w:lang w:val="en-US" w:eastAsia="zh-CN"/>
        </w:rPr>
        <w:t>2</w:t>
      </w:r>
      <w:r>
        <w:rPr>
          <w:rFonts w:hint="default" w:ascii="Times New Roman" w:hAnsi="Times New Roman" w:cs="Times New Roman"/>
          <w:b/>
          <w:bCs/>
          <w:color w:val="auto"/>
          <w:highlight w:val="none"/>
          <w:lang w:val="en-US" w:eastAsia="zh-CN"/>
        </w:rPr>
        <w:t xml:space="preserve"> 项目周边环境现状图</w:t>
      </w:r>
    </w:p>
    <w:p>
      <w:pPr>
        <w:pStyle w:val="2"/>
      </w:pPr>
    </w:p>
    <w:tbl>
      <w:tblPr>
        <w:tblStyle w:val="33"/>
        <w:tblW w:w="508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86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74" w:type="pct"/>
            <w:noWrap w:val="0"/>
            <w:tcMar>
              <w:left w:w="28" w:type="dxa"/>
              <w:right w:w="28" w:type="dxa"/>
            </w:tcMar>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污染</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物排</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放控</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制标</w:t>
            </w:r>
          </w:p>
          <w:p>
            <w:pPr>
              <w:adjustRightInd w:val="0"/>
              <w:snapToGrid w:val="0"/>
              <w:jc w:val="center"/>
              <w:rPr>
                <w:rFonts w:hint="default" w:ascii="Times New Roman" w:hAnsi="Times New Roman" w:cs="Times New Roman"/>
                <w:color w:val="0000FF"/>
                <w:kern w:val="0"/>
                <w:sz w:val="24"/>
                <w:szCs w:val="24"/>
              </w:rPr>
            </w:pPr>
            <w:r>
              <w:rPr>
                <w:rFonts w:hint="default" w:ascii="Times New Roman" w:hAnsi="Times New Roman" w:cs="Times New Roman"/>
                <w:color w:val="auto"/>
                <w:kern w:val="0"/>
                <w:sz w:val="24"/>
                <w:szCs w:val="24"/>
              </w:rPr>
              <w:t>准</w:t>
            </w:r>
          </w:p>
        </w:tc>
        <w:tc>
          <w:tcPr>
            <w:tcW w:w="4625" w:type="pct"/>
            <w:noWrap w:val="0"/>
            <w:vAlign w:val="center"/>
          </w:tcPr>
          <w:p>
            <w:pPr>
              <w:pStyle w:val="4"/>
              <w:keepNext/>
              <w:keepLines/>
              <w:pageBreakBefore w:val="0"/>
              <w:widowControl w:val="0"/>
              <w:numPr>
                <w:ilvl w:val="0"/>
                <w:numId w:val="0"/>
              </w:numPr>
              <w:tabs>
                <w:tab w:val="left" w:pos="900"/>
              </w:tabs>
              <w:kinsoku/>
              <w:wordWrap/>
              <w:overflowPunct/>
              <w:topLinePunct w:val="0"/>
              <w:autoSpaceDE/>
              <w:autoSpaceDN/>
              <w:bidi w:val="0"/>
              <w:adjustRightInd w:val="0"/>
              <w:snapToGrid w:val="0"/>
              <w:spacing w:before="219" w:beforeLines="70" w:after="219" w:afterLines="70" w:line="240" w:lineRule="auto"/>
              <w:jc w:val="left"/>
              <w:textAlignment w:val="auto"/>
              <w:rPr>
                <w:rFonts w:hint="default" w:ascii="Times New Roman" w:hAnsi="Times New Roman" w:eastAsia="宋体" w:cs="Times New Roman"/>
                <w:b/>
                <w:bCs/>
                <w:smallCaps/>
                <w:snapToGrid/>
                <w:color w:val="auto"/>
                <w:sz w:val="30"/>
                <w:szCs w:val="30"/>
                <w:highlight w:val="none"/>
              </w:rPr>
            </w:pPr>
            <w:bookmarkStart w:id="82" w:name="_Toc7419"/>
            <w:bookmarkStart w:id="83" w:name="_Toc10239"/>
            <w:bookmarkStart w:id="84" w:name="_Toc26190"/>
            <w:bookmarkStart w:id="85" w:name="_Toc19821"/>
            <w:bookmarkStart w:id="86" w:name="_Toc13115"/>
            <w:r>
              <w:rPr>
                <w:rFonts w:hint="default" w:ascii="Times New Roman" w:hAnsi="Times New Roman" w:eastAsia="宋体" w:cs="Times New Roman"/>
                <w:b/>
                <w:bCs/>
                <w:smallCaps/>
                <w:snapToGrid/>
                <w:color w:val="auto"/>
                <w:sz w:val="30"/>
                <w:szCs w:val="30"/>
                <w:highlight w:val="none"/>
              </w:rPr>
              <w:t>3.3  污染物排放控制标准</w:t>
            </w:r>
            <w:bookmarkEnd w:id="82"/>
            <w:bookmarkEnd w:id="83"/>
            <w:bookmarkEnd w:id="84"/>
            <w:bookmarkEnd w:id="85"/>
            <w:bookmarkEnd w:id="86"/>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87" w:name="_Toc18204"/>
            <w:bookmarkStart w:id="88" w:name="_Toc6976"/>
            <w:bookmarkStart w:id="89" w:name="_Toc25166"/>
            <w:bookmarkStart w:id="90" w:name="_Toc29520"/>
            <w:bookmarkStart w:id="91" w:name="_Toc3656"/>
            <w:bookmarkStart w:id="92" w:name="_Toc26151"/>
            <w:bookmarkStart w:id="93" w:name="_Toc9933"/>
            <w:bookmarkStart w:id="94" w:name="_Toc6196"/>
            <w:r>
              <w:rPr>
                <w:rFonts w:hint="default" w:ascii="Times New Roman" w:hAnsi="Times New Roman" w:eastAsia="宋体" w:cs="Times New Roman"/>
                <w:b/>
                <w:bCs/>
                <w:color w:val="auto"/>
                <w:highlight w:val="none"/>
                <w:lang w:val="en-US" w:eastAsia="zh-CN"/>
              </w:rPr>
              <w:t>3.3.1  废气</w:t>
            </w:r>
            <w:bookmarkEnd w:id="87"/>
            <w:bookmarkEnd w:id="88"/>
            <w:bookmarkEnd w:id="89"/>
            <w:bookmarkEnd w:id="90"/>
            <w:bookmarkEnd w:id="91"/>
            <w:bookmarkEnd w:id="92"/>
            <w:bookmarkEnd w:id="93"/>
            <w:bookmarkEnd w:id="94"/>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rPr>
            </w:pPr>
            <w:r>
              <w:rPr>
                <w:rFonts w:hint="eastAsia" w:cs="Times New Roman"/>
                <w:color w:val="auto"/>
                <w:kern w:val="0"/>
                <w:sz w:val="24"/>
                <w:szCs w:val="24"/>
                <w:lang w:val="en-US" w:eastAsia="zh-CN" w:bidi="ar"/>
              </w:rPr>
              <w:t>技改</w:t>
            </w:r>
            <w:r>
              <w:rPr>
                <w:rFonts w:hint="default" w:ascii="Times New Roman" w:hAnsi="Times New Roman" w:eastAsia="宋体" w:cs="Times New Roman"/>
                <w:color w:val="auto"/>
                <w:kern w:val="0"/>
                <w:sz w:val="24"/>
                <w:szCs w:val="24"/>
                <w:lang w:val="en-US" w:eastAsia="zh-CN" w:bidi="ar"/>
              </w:rPr>
              <w:t>项目上料破碎、筛分、搅拌废气</w:t>
            </w:r>
            <w:r>
              <w:rPr>
                <w:rFonts w:hint="eastAsia" w:ascii="Times New Roman" w:hAnsi="Times New Roman" w:eastAsia="宋体" w:cs="Times New Roman"/>
                <w:color w:val="auto"/>
                <w:kern w:val="0"/>
                <w:sz w:val="24"/>
                <w:szCs w:val="24"/>
                <w:lang w:val="en-US" w:eastAsia="zh-CN" w:bidi="ar"/>
              </w:rPr>
              <w:t>中的</w:t>
            </w:r>
            <w:r>
              <w:rPr>
                <w:rFonts w:hint="default" w:ascii="Times New Roman" w:hAnsi="Times New Roman" w:cs="Times New Roman"/>
                <w:color w:val="auto"/>
                <w:sz w:val="24"/>
                <w:szCs w:val="24"/>
                <w:highlight w:val="none"/>
                <w:lang w:eastAsia="zh-CN"/>
              </w:rPr>
              <w:t>颗粒物</w:t>
            </w:r>
            <w:r>
              <w:rPr>
                <w:rFonts w:hint="eastAsia" w:ascii="Times New Roman" w:hAnsi="Times New Roman" w:cs="Times New Roman"/>
                <w:color w:val="auto"/>
                <w:sz w:val="24"/>
                <w:szCs w:val="24"/>
                <w:highlight w:val="none"/>
                <w:lang w:val="en-US" w:eastAsia="zh-CN"/>
              </w:rPr>
              <w:t>和</w:t>
            </w:r>
            <w:r>
              <w:rPr>
                <w:rFonts w:hint="default" w:ascii="Times New Roman" w:hAnsi="Times New Roman" w:eastAsia="宋体" w:cs="Times New Roman"/>
                <w:color w:val="auto"/>
                <w:kern w:val="0"/>
                <w:sz w:val="24"/>
                <w:szCs w:val="24"/>
                <w:lang w:val="en-US" w:eastAsia="zh-CN" w:bidi="ar"/>
              </w:rPr>
              <w:t>无组织</w:t>
            </w:r>
            <w:r>
              <w:rPr>
                <w:rFonts w:hint="default" w:ascii="Times New Roman" w:hAnsi="Times New Roman" w:cs="Times New Roman"/>
                <w:color w:val="auto"/>
                <w:spacing w:val="0"/>
                <w:sz w:val="24"/>
                <w:szCs w:val="24"/>
                <w:lang w:eastAsia="zh-CN"/>
              </w:rPr>
              <w:t>颗粒物</w:t>
            </w:r>
            <w:r>
              <w:rPr>
                <w:rFonts w:hint="default" w:ascii="Times New Roman" w:hAnsi="Times New Roman" w:cs="Times New Roman"/>
                <w:color w:val="auto"/>
                <w:spacing w:val="0"/>
                <w:sz w:val="24"/>
                <w:szCs w:val="24"/>
              </w:rPr>
              <w:t>执行《大气污染物综合排放标准》</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pacing w:val="0"/>
                <w:sz w:val="24"/>
                <w:szCs w:val="24"/>
              </w:rPr>
              <w:t>GB16297-1996</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pacing w:val="0"/>
                <w:sz w:val="24"/>
                <w:szCs w:val="24"/>
              </w:rPr>
              <w:t>表2中二级排放限值</w:t>
            </w:r>
            <w:r>
              <w:rPr>
                <w:rFonts w:hint="default" w:ascii="Times New Roman" w:hAnsi="Times New Roman" w:cs="Times New Roman"/>
                <w:color w:val="auto"/>
                <w:spacing w:val="0"/>
                <w:sz w:val="24"/>
                <w:szCs w:val="24"/>
                <w:lang w:eastAsia="zh-CN"/>
              </w:rPr>
              <w:t>。</w:t>
            </w:r>
            <w:r>
              <w:rPr>
                <w:rFonts w:hint="default" w:ascii="Times New Roman" w:hAnsi="Times New Roman" w:eastAsia="宋体" w:cs="Times New Roman"/>
                <w:color w:val="auto"/>
                <w:kern w:val="0"/>
                <w:sz w:val="24"/>
                <w:szCs w:val="24"/>
                <w:lang w:val="en-US" w:eastAsia="zh-CN" w:bidi="ar"/>
              </w:rPr>
              <w:t>具体详见表3.3-</w:t>
            </w:r>
            <w:r>
              <w:rPr>
                <w:rFonts w:hint="eastAsia" w:cs="Times New Roman"/>
                <w:color w:val="auto"/>
                <w:kern w:val="0"/>
                <w:sz w:val="24"/>
                <w:szCs w:val="24"/>
                <w:lang w:val="en-US" w:eastAsia="zh-CN" w:bidi="ar"/>
              </w:rPr>
              <w:t>1</w:t>
            </w:r>
            <w:r>
              <w:rPr>
                <w:rFonts w:hint="default" w:ascii="Times New Roman" w:hAnsi="Times New Roman" w:cs="Times New Roman"/>
                <w:color w:val="auto"/>
                <w:kern w:val="0"/>
                <w:sz w:val="24"/>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表3.3-1  有组织废气排放浓度限值</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6"/>
              <w:gridCol w:w="964"/>
              <w:gridCol w:w="1292"/>
              <w:gridCol w:w="918"/>
              <w:gridCol w:w="1077"/>
              <w:gridCol w:w="1224"/>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60" w:hRule="atLeast"/>
                <w:tblHeader/>
                <w:jc w:val="center"/>
              </w:trPr>
              <w:tc>
                <w:tcPr>
                  <w:tcW w:w="6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污染物排放环节</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污染物名称</w:t>
                  </w:r>
                </w:p>
              </w:tc>
              <w:tc>
                <w:tcPr>
                  <w:tcW w:w="76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最高允许排放浓度</w:t>
                  </w:r>
                  <w:r>
                    <w:rPr>
                      <w:rFonts w:hint="default" w:ascii="Times New Roman" w:hAnsi="Times New Roman" w:eastAsia="宋体" w:cs="Times New Roman"/>
                      <w:bCs/>
                      <w:color w:val="auto"/>
                      <w:spacing w:val="-20"/>
                      <w:sz w:val="21"/>
                      <w:szCs w:val="21"/>
                      <w:lang w:val="en-US" w:eastAsia="zh-CN"/>
                    </w:rPr>
                    <w:t>(</w:t>
                  </w:r>
                  <w:r>
                    <w:rPr>
                      <w:rFonts w:hint="default" w:ascii="Times New Roman" w:hAnsi="Times New Roman" w:eastAsia="宋体" w:cs="Times New Roman"/>
                      <w:bCs/>
                      <w:color w:val="auto"/>
                      <w:spacing w:val="-20"/>
                      <w:sz w:val="21"/>
                      <w:szCs w:val="21"/>
                    </w:rPr>
                    <w:t>mg/m</w:t>
                  </w:r>
                  <w:r>
                    <w:rPr>
                      <w:rFonts w:hint="default" w:ascii="Times New Roman" w:hAnsi="Times New Roman" w:eastAsia="宋体" w:cs="Times New Roman"/>
                      <w:bCs/>
                      <w:color w:val="auto"/>
                      <w:spacing w:val="-20"/>
                      <w:sz w:val="21"/>
                      <w:szCs w:val="21"/>
                      <w:vertAlign w:val="superscript"/>
                    </w:rPr>
                    <w:t>3</w:t>
                  </w:r>
                  <w:r>
                    <w:rPr>
                      <w:rFonts w:hint="default" w:ascii="Times New Roman" w:hAnsi="Times New Roman" w:eastAsia="宋体" w:cs="Times New Roman"/>
                      <w:bCs/>
                      <w:color w:val="auto"/>
                      <w:spacing w:val="-20"/>
                      <w:sz w:val="21"/>
                      <w:szCs w:val="21"/>
                      <w:lang w:val="en-US" w:eastAsia="zh-CN"/>
                    </w:rPr>
                    <w:t>)</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排气筒高度（m）</w:t>
                  </w:r>
                </w:p>
              </w:tc>
              <w:tc>
                <w:tcPr>
                  <w:tcW w:w="6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最高排放速率（kg/h）</w:t>
                  </w: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企业边界监控点浓度限值</w:t>
                  </w:r>
                  <w:r>
                    <w:rPr>
                      <w:rFonts w:hint="default" w:ascii="Times New Roman" w:hAnsi="Times New Roman" w:eastAsia="宋体" w:cs="Times New Roman"/>
                      <w:bCs/>
                      <w:color w:val="auto"/>
                      <w:spacing w:val="-20"/>
                      <w:sz w:val="21"/>
                      <w:szCs w:val="21"/>
                      <w:lang w:val="en-US" w:eastAsia="zh-CN"/>
                    </w:rPr>
                    <w:t>(</w:t>
                  </w:r>
                  <w:r>
                    <w:rPr>
                      <w:rFonts w:hint="default" w:ascii="Times New Roman" w:hAnsi="Times New Roman" w:eastAsia="宋体" w:cs="Times New Roman"/>
                      <w:bCs/>
                      <w:color w:val="auto"/>
                      <w:spacing w:val="-20"/>
                      <w:sz w:val="21"/>
                      <w:szCs w:val="21"/>
                    </w:rPr>
                    <w:t>mg/m</w:t>
                  </w:r>
                  <w:r>
                    <w:rPr>
                      <w:rFonts w:hint="default" w:ascii="Times New Roman" w:hAnsi="Times New Roman" w:eastAsia="宋体" w:cs="Times New Roman"/>
                      <w:bCs/>
                      <w:color w:val="auto"/>
                      <w:spacing w:val="-20"/>
                      <w:sz w:val="21"/>
                      <w:szCs w:val="21"/>
                      <w:vertAlign w:val="superscript"/>
                    </w:rPr>
                    <w:t>3</w:t>
                  </w:r>
                  <w:r>
                    <w:rPr>
                      <w:rFonts w:hint="default" w:ascii="Times New Roman" w:hAnsi="Times New Roman" w:eastAsia="宋体" w:cs="Times New Roman"/>
                      <w:bCs/>
                      <w:color w:val="auto"/>
                      <w:spacing w:val="-20"/>
                      <w:sz w:val="21"/>
                      <w:szCs w:val="21"/>
                      <w:lang w:val="en-US" w:eastAsia="zh-CN"/>
                    </w:rPr>
                    <w:t>)</w:t>
                  </w:r>
                </w:p>
              </w:tc>
              <w:tc>
                <w:tcPr>
                  <w:tcW w:w="11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上料破碎、筛分、搅拌废气</w:t>
                  </w:r>
                </w:p>
              </w:tc>
              <w:tc>
                <w:tcPr>
                  <w:tcW w:w="5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颗粒物</w:t>
                  </w:r>
                </w:p>
              </w:tc>
              <w:tc>
                <w:tcPr>
                  <w:tcW w:w="76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120</w:t>
                  </w:r>
                </w:p>
              </w:tc>
              <w:tc>
                <w:tcPr>
                  <w:tcW w:w="54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15</w:t>
                  </w:r>
                </w:p>
              </w:tc>
              <w:tc>
                <w:tcPr>
                  <w:tcW w:w="63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3.5</w:t>
                  </w:r>
                </w:p>
              </w:tc>
              <w:tc>
                <w:tcPr>
                  <w:tcW w:w="7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cs="Times New Roman"/>
                      <w:bCs/>
                      <w:color w:val="auto"/>
                      <w:sz w:val="21"/>
                      <w:szCs w:val="21"/>
                    </w:rPr>
                    <w:t>1.0</w:t>
                  </w:r>
                </w:p>
              </w:tc>
              <w:tc>
                <w:tcPr>
                  <w:tcW w:w="11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w:t>
                  </w:r>
                  <w:r>
                    <w:rPr>
                      <w:rFonts w:hint="default" w:ascii="Times New Roman" w:hAnsi="Times New Roman" w:eastAsia="宋体" w:cs="Times New Roman"/>
                      <w:color w:val="auto"/>
                      <w:sz w:val="21"/>
                      <w:szCs w:val="21"/>
                      <w:highlight w:val="none"/>
                      <w:lang w:val="en-US" w:eastAsia="zh-CN"/>
                    </w:rPr>
                    <w:t>（GB16297-1996）表</w:t>
                  </w:r>
                  <w:r>
                    <w:rPr>
                      <w:rFonts w:hint="default" w:ascii="Times New Roman" w:hAnsi="Times New Roman" w:eastAsia="宋体" w:cs="Times New Roman"/>
                      <w:color w:val="auto"/>
                      <w:sz w:val="21"/>
                      <w:szCs w:val="21"/>
                      <w:highlight w:val="none"/>
                    </w:rPr>
                    <w:t>2中二级标准</w:t>
                  </w:r>
                </w:p>
              </w:tc>
            </w:tr>
          </w:tbl>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95" w:name="_Toc32034"/>
            <w:bookmarkStart w:id="96" w:name="_Toc4205"/>
            <w:bookmarkStart w:id="97" w:name="_Toc20607"/>
            <w:bookmarkStart w:id="98" w:name="_Toc31268"/>
            <w:bookmarkStart w:id="99" w:name="_Toc214"/>
            <w:bookmarkStart w:id="100" w:name="_Toc19031"/>
            <w:bookmarkStart w:id="101" w:name="_Toc23307"/>
            <w:bookmarkStart w:id="102" w:name="_Toc26414"/>
            <w:r>
              <w:rPr>
                <w:rFonts w:hint="default" w:ascii="Times New Roman" w:hAnsi="Times New Roman" w:eastAsia="宋体" w:cs="Times New Roman"/>
                <w:b/>
                <w:bCs/>
                <w:color w:val="auto"/>
                <w:highlight w:val="none"/>
                <w:lang w:val="en-US" w:eastAsia="zh-CN"/>
              </w:rPr>
              <w:t>3.3.2  废水</w:t>
            </w:r>
            <w:bookmarkEnd w:id="95"/>
            <w:bookmarkEnd w:id="96"/>
            <w:bookmarkEnd w:id="97"/>
            <w:bookmarkEnd w:id="98"/>
            <w:bookmarkEnd w:id="99"/>
            <w:bookmarkEnd w:id="100"/>
            <w:bookmarkEnd w:id="101"/>
            <w:bookmarkEnd w:id="102"/>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生活污水经厂区内配套设置的化粪池处理后，达到《污水综合排放标准》(GB8978-1996)表4三级排放标准(湾坞西污水处理厂接管标准)，纳入湾坞西污水处理厂集中处理排放</w:t>
            </w:r>
            <w:r>
              <w:rPr>
                <w:rFonts w:hint="eastAsia" w:cs="Times New Roman"/>
                <w:color w:val="auto"/>
                <w:kern w:val="0"/>
                <w:sz w:val="24"/>
                <w:lang w:val="en-US" w:eastAsia="zh-CN"/>
              </w:rPr>
              <w:t>，</w:t>
            </w:r>
            <w:r>
              <w:rPr>
                <w:rFonts w:hint="default" w:ascii="Times New Roman" w:hAnsi="Times New Roman" w:cs="Times New Roman"/>
                <w:color w:val="auto"/>
                <w:kern w:val="0"/>
                <w:sz w:val="24"/>
                <w:lang w:val="en-US" w:eastAsia="zh-CN"/>
              </w:rPr>
              <w:t>详见表3.3-</w:t>
            </w:r>
            <w:r>
              <w:rPr>
                <w:rFonts w:hint="eastAsia" w:cs="Times New Roman"/>
                <w:color w:val="auto"/>
                <w:kern w:val="0"/>
                <w:sz w:val="24"/>
                <w:lang w:val="en-US" w:eastAsia="zh-CN"/>
              </w:rPr>
              <w:t>2</w:t>
            </w:r>
            <w:r>
              <w:rPr>
                <w:rFonts w:hint="default" w:ascii="Times New Roman" w:hAnsi="Times New Roman" w:cs="Times New Roman"/>
                <w:color w:val="auto"/>
                <w:kern w:val="0"/>
                <w:sz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bookmarkStart w:id="103" w:name="_Toc21634"/>
            <w:r>
              <w:rPr>
                <w:rFonts w:hint="default" w:ascii="Times New Roman" w:hAnsi="Times New Roman" w:eastAsia="宋体" w:cs="Times New Roman"/>
                <w:b/>
                <w:bCs/>
                <w:color w:val="auto"/>
                <w:sz w:val="24"/>
                <w:szCs w:val="24"/>
                <w:lang w:val="en-US" w:eastAsia="zh-CN"/>
              </w:rPr>
              <w:t>表3.3-</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w:t>
            </w:r>
            <w:bookmarkEnd w:id="103"/>
            <w:r>
              <w:rPr>
                <w:rFonts w:hint="default" w:ascii="Times New Roman" w:hAnsi="Times New Roman" w:eastAsia="宋体" w:cs="Times New Roman"/>
                <w:b/>
                <w:bCs/>
                <w:color w:val="auto"/>
                <w:sz w:val="24"/>
                <w:szCs w:val="24"/>
                <w:lang w:val="en-US" w:eastAsia="zh-CN"/>
              </w:rPr>
              <w:t>湾坞西污水厂进厂(接管)污水水质要求 单位：mg/L</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5"/>
              <w:gridCol w:w="1321"/>
              <w:gridCol w:w="1268"/>
              <w:gridCol w:w="1153"/>
              <w:gridCol w:w="1140"/>
              <w:gridCol w:w="1044"/>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773" w:type="pct"/>
                  <w:noWrap w:val="0"/>
                  <w:tcMar>
                    <w:left w:w="0" w:type="dxa"/>
                    <w:right w:w="0" w:type="dxa"/>
                  </w:tcMar>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eastAsia" w:ascii="宋体" w:hAnsi="宋体" w:eastAsia="宋体" w:cs="宋体"/>
                      <w:color w:val="000000"/>
                      <w:kern w:val="0"/>
                      <w:sz w:val="21"/>
                      <w:szCs w:val="21"/>
                      <w:lang w:val="en-US" w:eastAsia="zh-CN" w:bidi="ar"/>
                    </w:rPr>
                    <w:t>水质指标</w:t>
                  </w:r>
                </w:p>
              </w:tc>
              <w:tc>
                <w:tcPr>
                  <w:tcW w:w="782" w:type="pct"/>
                  <w:noWrap w:val="0"/>
                  <w:tcMar>
                    <w:left w:w="0" w:type="dxa"/>
                    <w:right w:w="0" w:type="dxa"/>
                  </w:tcMar>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pH</w:t>
                  </w:r>
                  <w:r>
                    <w:rPr>
                      <w:rFonts w:hint="eastAsia" w:ascii="宋体" w:hAnsi="宋体" w:eastAsia="宋体" w:cs="宋体"/>
                      <w:color w:val="000000"/>
                      <w:kern w:val="0"/>
                      <w:sz w:val="21"/>
                      <w:szCs w:val="21"/>
                      <w:lang w:val="en-US" w:eastAsia="zh-CN" w:bidi="ar"/>
                    </w:rPr>
                    <w:t>（无量纲）</w:t>
                  </w:r>
                </w:p>
              </w:tc>
              <w:tc>
                <w:tcPr>
                  <w:tcW w:w="751" w:type="pct"/>
                  <w:noWrap w:val="0"/>
                  <w:vAlign w:val="center"/>
                </w:tcPr>
                <w:p>
                  <w:pPr>
                    <w:autoSpaceDE w:val="0"/>
                    <w:autoSpaceDN w:val="0"/>
                    <w:adjustRightInd w:val="0"/>
                    <w:spacing w:line="26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COD</w:t>
                  </w:r>
                </w:p>
              </w:tc>
              <w:tc>
                <w:tcPr>
                  <w:tcW w:w="683" w:type="pct"/>
                  <w:noWrap w:val="0"/>
                  <w:vAlign w:val="center"/>
                </w:tcPr>
                <w:p>
                  <w:pPr>
                    <w:autoSpaceDE w:val="0"/>
                    <w:autoSpaceDN w:val="0"/>
                    <w:adjustRightInd w:val="0"/>
                    <w:spacing w:line="26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SS</w:t>
                  </w:r>
                </w:p>
              </w:tc>
              <w:tc>
                <w:tcPr>
                  <w:tcW w:w="675" w:type="pct"/>
                  <w:noWrap w:val="0"/>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TN</w:t>
                  </w:r>
                </w:p>
              </w:tc>
              <w:tc>
                <w:tcPr>
                  <w:tcW w:w="618" w:type="pct"/>
                  <w:noWrap w:val="0"/>
                  <w:vAlign w:val="center"/>
                </w:tcPr>
                <w:p>
                  <w:pPr>
                    <w:keepNext w:val="0"/>
                    <w:keepLines w:val="0"/>
                    <w:widowControl/>
                    <w:suppressLineNumbers w:val="0"/>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13"/>
                      <w:szCs w:val="13"/>
                      <w:lang w:val="en-US" w:eastAsia="zh-CN" w:bidi="ar"/>
                    </w:rPr>
                    <w:t>3</w:t>
                  </w:r>
                  <w:r>
                    <w:rPr>
                      <w:rFonts w:hint="default" w:ascii="Times New Roman" w:hAnsi="Times New Roman" w:eastAsia="宋体" w:cs="Times New Roman"/>
                      <w:color w:val="000000"/>
                      <w:kern w:val="0"/>
                      <w:sz w:val="21"/>
                      <w:szCs w:val="21"/>
                      <w:lang w:val="en-US" w:eastAsia="zh-CN" w:bidi="ar"/>
                    </w:rPr>
                    <w:t>-N</w:t>
                  </w:r>
                </w:p>
              </w:tc>
              <w:tc>
                <w:tcPr>
                  <w:tcW w:w="714" w:type="pct"/>
                  <w:noWrap w:val="0"/>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73" w:type="pct"/>
                  <w:noWrap w:val="0"/>
                  <w:tcMar>
                    <w:left w:w="0" w:type="dxa"/>
                    <w:right w:w="0" w:type="dxa"/>
                  </w:tcMar>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eastAsia" w:ascii="宋体" w:hAnsi="宋体" w:eastAsia="宋体" w:cs="宋体"/>
                      <w:color w:val="000000"/>
                      <w:kern w:val="0"/>
                      <w:sz w:val="21"/>
                      <w:szCs w:val="21"/>
                      <w:lang w:val="en-US" w:eastAsia="zh-CN" w:bidi="ar"/>
                    </w:rPr>
                    <w:t>浓度</w:t>
                  </w:r>
                </w:p>
              </w:tc>
              <w:tc>
                <w:tcPr>
                  <w:tcW w:w="782" w:type="pct"/>
                  <w:noWrap w:val="0"/>
                  <w:tcMar>
                    <w:left w:w="0" w:type="dxa"/>
                    <w:right w:w="0" w:type="dxa"/>
                  </w:tcMar>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6~9</w:t>
                  </w:r>
                </w:p>
              </w:tc>
              <w:tc>
                <w:tcPr>
                  <w:tcW w:w="751" w:type="pct"/>
                  <w:noWrap w:val="0"/>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360</w:t>
                  </w:r>
                </w:p>
              </w:tc>
              <w:tc>
                <w:tcPr>
                  <w:tcW w:w="683" w:type="pct"/>
                  <w:noWrap w:val="0"/>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300</w:t>
                  </w:r>
                </w:p>
              </w:tc>
              <w:tc>
                <w:tcPr>
                  <w:tcW w:w="675" w:type="pct"/>
                  <w:noWrap w:val="0"/>
                  <w:vAlign w:val="center"/>
                </w:tcPr>
                <w:p>
                  <w:pPr>
                    <w:autoSpaceDE w:val="0"/>
                    <w:autoSpaceDN w:val="0"/>
                    <w:adjustRightInd w:val="0"/>
                    <w:spacing w:line="260" w:lineRule="exact"/>
                    <w:jc w:val="center"/>
                    <w:rPr>
                      <w:rFonts w:hint="default" w:ascii="Times New Roman" w:hAnsi="Times New Roman" w:cs="Times New Roman"/>
                      <w:color w:val="0000FF"/>
                      <w:kern w:val="0"/>
                      <w:szCs w:val="21"/>
                    </w:rPr>
                  </w:pPr>
                  <w:r>
                    <w:rPr>
                      <w:rFonts w:hint="default" w:ascii="Times New Roman" w:hAnsi="Times New Roman" w:eastAsia="宋体" w:cs="Times New Roman"/>
                      <w:color w:val="000000"/>
                      <w:kern w:val="0"/>
                      <w:sz w:val="21"/>
                      <w:szCs w:val="21"/>
                      <w:lang w:val="en-US" w:eastAsia="zh-CN" w:bidi="ar"/>
                    </w:rPr>
                    <w:t>45</w:t>
                  </w:r>
                </w:p>
              </w:tc>
              <w:tc>
                <w:tcPr>
                  <w:tcW w:w="618" w:type="pct"/>
                  <w:noWrap w:val="0"/>
                  <w:vAlign w:val="center"/>
                </w:tcPr>
                <w:p>
                  <w:pPr>
                    <w:autoSpaceDE w:val="0"/>
                    <w:autoSpaceDN w:val="0"/>
                    <w:adjustRightInd w:val="0"/>
                    <w:spacing w:line="260" w:lineRule="exact"/>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35</w:t>
                  </w:r>
                </w:p>
              </w:tc>
              <w:tc>
                <w:tcPr>
                  <w:tcW w:w="714" w:type="pct"/>
                  <w:noWrap w:val="0"/>
                  <w:vAlign w:val="center"/>
                </w:tcPr>
                <w:p>
                  <w:pPr>
                    <w:autoSpaceDE w:val="0"/>
                    <w:autoSpaceDN w:val="0"/>
                    <w:adjustRightInd w:val="0"/>
                    <w:spacing w:line="260" w:lineRule="exact"/>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3.5</w:t>
                  </w:r>
                </w:p>
              </w:tc>
            </w:tr>
          </w:tbl>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104" w:name="_Toc19616"/>
            <w:bookmarkStart w:id="105" w:name="_Toc5967"/>
            <w:bookmarkStart w:id="106" w:name="_Toc27465"/>
            <w:bookmarkStart w:id="107" w:name="_Toc23333"/>
            <w:bookmarkStart w:id="108" w:name="_Toc28883"/>
            <w:bookmarkStart w:id="109" w:name="_Toc11378"/>
            <w:bookmarkStart w:id="110" w:name="_Toc899"/>
            <w:bookmarkStart w:id="111" w:name="_Toc14736"/>
            <w:r>
              <w:rPr>
                <w:rFonts w:hint="default" w:ascii="Times New Roman" w:hAnsi="Times New Roman" w:eastAsia="宋体" w:cs="Times New Roman"/>
                <w:b/>
                <w:bCs/>
                <w:color w:val="auto"/>
                <w:highlight w:val="none"/>
                <w:lang w:val="en-US" w:eastAsia="zh-CN"/>
              </w:rPr>
              <w:t>3.3.3  声环境</w:t>
            </w:r>
            <w:bookmarkEnd w:id="104"/>
            <w:bookmarkEnd w:id="105"/>
            <w:bookmarkEnd w:id="106"/>
            <w:bookmarkEnd w:id="107"/>
            <w:bookmarkEnd w:id="108"/>
            <w:bookmarkEnd w:id="109"/>
            <w:bookmarkEnd w:id="110"/>
            <w:bookmarkEnd w:id="111"/>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kern w:val="0"/>
                <w:sz w:val="24"/>
                <w:lang w:val="en-US" w:eastAsia="zh-CN"/>
              </w:rPr>
            </w:pPr>
            <w:bookmarkStart w:id="112" w:name="_Toc11074"/>
            <w:bookmarkStart w:id="113" w:name="_Toc29161"/>
            <w:bookmarkStart w:id="114" w:name="_Toc14186"/>
            <w:bookmarkStart w:id="115" w:name="_Toc10279"/>
            <w:bookmarkStart w:id="116" w:name="_Toc14420"/>
            <w:bookmarkStart w:id="117" w:name="_Toc32590"/>
            <w:bookmarkStart w:id="118" w:name="_Toc12168"/>
            <w:r>
              <w:rPr>
                <w:rFonts w:hint="default" w:ascii="Times New Roman" w:hAnsi="Times New Roman" w:eastAsia="宋体" w:cs="Times New Roman"/>
                <w:color w:val="auto"/>
                <w:kern w:val="0"/>
                <w:sz w:val="24"/>
                <w:lang w:val="en-US" w:eastAsia="zh-CN"/>
              </w:rPr>
              <w:t>施工期厂界噪声执行《建筑施工场界环境噪声排放标准》</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highlight w:val="none"/>
                <w:lang w:val="en-US" w:eastAsia="zh-CN"/>
              </w:rPr>
              <w:t>GB12523-2011</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highlight w:val="none"/>
                <w:lang w:val="en-US" w:eastAsia="zh-CN"/>
              </w:rPr>
              <w:t>（昼间≤70dB，夜间≤55dB）。运营期项目厂界噪声排放执行《工业企业厂界环境噪声排放标准》</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highlight w:val="none"/>
                <w:lang w:val="en-US" w:eastAsia="zh-CN"/>
              </w:rPr>
              <w:t>GB12348-2008</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highlight w:val="none"/>
                <w:lang w:val="en-US" w:eastAsia="zh-CN"/>
              </w:rPr>
              <w:t>中的3类标准，见表3.3-</w:t>
            </w:r>
            <w:r>
              <w:rPr>
                <w:rFonts w:hint="eastAsia" w:cs="Times New Roman"/>
                <w:color w:val="auto"/>
                <w:kern w:val="0"/>
                <w:sz w:val="24"/>
                <w:highlight w:val="none"/>
                <w:lang w:val="en-US" w:eastAsia="zh-CN"/>
              </w:rPr>
              <w:t>3</w:t>
            </w:r>
            <w:r>
              <w:rPr>
                <w:rFonts w:hint="default" w:ascii="Times New Roman" w:hAnsi="Times New Roman" w:eastAsia="宋体" w:cs="Times New Roman"/>
                <w:color w:val="auto"/>
                <w:kern w:val="0"/>
                <w:sz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表3.3-</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建设项目噪声排放标准  单位：dB(A)</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8"/>
              <w:gridCol w:w="1470"/>
              <w:gridCol w:w="1346"/>
              <w:gridCol w:w="1199"/>
              <w:gridCol w:w="1053"/>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8"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时段</w:t>
                  </w:r>
                </w:p>
              </w:tc>
              <w:tc>
                <w:tcPr>
                  <w:tcW w:w="1470"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厂界</w:t>
                  </w:r>
                </w:p>
              </w:tc>
              <w:tc>
                <w:tcPr>
                  <w:tcW w:w="3598" w:type="dxa"/>
                  <w:gridSpan w:val="3"/>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评价标准</w:t>
                  </w:r>
                </w:p>
              </w:tc>
              <w:tc>
                <w:tcPr>
                  <w:tcW w:w="1710" w:type="dxa"/>
                  <w:vMerge w:val="restart"/>
                  <w:tcBorders>
                    <w:tl2br w:val="nil"/>
                    <w:tr2bl w:val="nil"/>
                  </w:tcBorders>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8"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0000FF"/>
                      <w:sz w:val="21"/>
                      <w:szCs w:val="21"/>
                    </w:rPr>
                  </w:pPr>
                </w:p>
              </w:tc>
              <w:tc>
                <w:tcPr>
                  <w:tcW w:w="1470"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0000FF"/>
                      <w:sz w:val="21"/>
                      <w:szCs w:val="21"/>
                    </w:rPr>
                  </w:pPr>
                </w:p>
              </w:tc>
              <w:tc>
                <w:tcPr>
                  <w:tcW w:w="1346"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类别</w:t>
                  </w:r>
                </w:p>
              </w:tc>
              <w:tc>
                <w:tcPr>
                  <w:tcW w:w="1199"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时段</w:t>
                  </w:r>
                </w:p>
              </w:tc>
              <w:tc>
                <w:tcPr>
                  <w:tcW w:w="1053"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标准值</w:t>
                  </w:r>
                </w:p>
              </w:tc>
              <w:tc>
                <w:tcPr>
                  <w:tcW w:w="1710" w:type="dxa"/>
                  <w:vMerge w:val="continue"/>
                  <w:tcBorders>
                    <w:tl2br w:val="nil"/>
                    <w:tr2bl w:val="nil"/>
                  </w:tcBorders>
                  <w:noWrap w:val="0"/>
                  <w:vAlign w:val="center"/>
                </w:tcPr>
                <w:p>
                  <w:pPr>
                    <w:adjustRightInd w:val="0"/>
                    <w:snapToGrid w:val="0"/>
                    <w:jc w:val="center"/>
                    <w:rPr>
                      <w:rFonts w:hint="default" w:ascii="Times New Roman" w:hAnsi="Times New Roman" w:cs="Times New Roman"/>
                      <w:bCs/>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8"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施工期</w:t>
                  </w:r>
                </w:p>
              </w:tc>
              <w:tc>
                <w:tcPr>
                  <w:tcW w:w="1470"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1346"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1199"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昼间</w:t>
                  </w:r>
                </w:p>
              </w:tc>
              <w:tc>
                <w:tcPr>
                  <w:tcW w:w="1053"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w:t>
                  </w:r>
                </w:p>
              </w:tc>
              <w:tc>
                <w:tcPr>
                  <w:tcW w:w="1710" w:type="dxa"/>
                  <w:vMerge w:val="restart"/>
                  <w:tcBorders>
                    <w:tl2br w:val="nil"/>
                    <w:tr2bl w:val="nil"/>
                  </w:tcBorders>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8"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p>
              </w:tc>
              <w:tc>
                <w:tcPr>
                  <w:tcW w:w="1470"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p>
              </w:tc>
              <w:tc>
                <w:tcPr>
                  <w:tcW w:w="1346"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p>
              </w:tc>
              <w:tc>
                <w:tcPr>
                  <w:tcW w:w="1199"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夜间</w:t>
                  </w:r>
                </w:p>
              </w:tc>
              <w:tc>
                <w:tcPr>
                  <w:tcW w:w="1053"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55</w:t>
                  </w:r>
                </w:p>
              </w:tc>
              <w:tc>
                <w:tcPr>
                  <w:tcW w:w="1710" w:type="dxa"/>
                  <w:vMerge w:val="continue"/>
                  <w:tcBorders>
                    <w:tl2br w:val="nil"/>
                    <w:tr2bl w:val="nil"/>
                  </w:tcBorders>
                  <w:noWrap w:val="0"/>
                  <w:vAlign w:val="center"/>
                </w:tcPr>
                <w:p>
                  <w:pPr>
                    <w:adjustRightInd w:val="0"/>
                    <w:snapToGrid w:val="0"/>
                    <w:jc w:val="center"/>
                    <w:rPr>
                      <w:rFonts w:hint="default" w:ascii="Times New Roman" w:hAnsi="Times New Roman" w:cs="Times New Roman"/>
                      <w:bCs/>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8"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运营期</w:t>
                  </w:r>
                </w:p>
              </w:tc>
              <w:tc>
                <w:tcPr>
                  <w:tcW w:w="1470"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四周厂界</w:t>
                  </w:r>
                </w:p>
              </w:tc>
              <w:tc>
                <w:tcPr>
                  <w:tcW w:w="1346" w:type="dxa"/>
                  <w:vMerge w:val="restart"/>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3类</w:t>
                  </w:r>
                </w:p>
              </w:tc>
              <w:tc>
                <w:tcPr>
                  <w:tcW w:w="1199"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昼间</w:t>
                  </w:r>
                </w:p>
              </w:tc>
              <w:tc>
                <w:tcPr>
                  <w:tcW w:w="1053"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65</w:t>
                  </w:r>
                </w:p>
              </w:tc>
              <w:tc>
                <w:tcPr>
                  <w:tcW w:w="1710" w:type="dxa"/>
                  <w:vMerge w:val="restart"/>
                  <w:tcBorders>
                    <w:tl2br w:val="nil"/>
                    <w:tr2bl w:val="nil"/>
                  </w:tcBorders>
                  <w:noWrap w:val="0"/>
                  <w:vAlign w:val="center"/>
                </w:tcPr>
                <w:p>
                  <w:pPr>
                    <w:adjustRightInd w:val="0"/>
                    <w:snapToGrid w:val="0"/>
                    <w:jc w:val="center"/>
                    <w:rPr>
                      <w:rFonts w:hint="default" w:ascii="Times New Roman" w:hAnsi="Times New Roman" w:cs="Times New Roman"/>
                      <w:bCs/>
                      <w:color w:val="0000FF"/>
                      <w:sz w:val="21"/>
                      <w:szCs w:val="21"/>
                    </w:rPr>
                  </w:pPr>
                  <w:r>
                    <w:rPr>
                      <w:rFonts w:hint="default" w:ascii="Times New Roman" w:hAnsi="Times New Roman" w:cs="Times New Roman"/>
                      <w:bCs/>
                      <w:color w:val="auto"/>
                      <w:sz w:val="21"/>
                      <w:szCs w:val="21"/>
                    </w:rPr>
                    <w:t>GB12348-2008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8"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p>
              </w:tc>
              <w:tc>
                <w:tcPr>
                  <w:tcW w:w="1470"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p>
              </w:tc>
              <w:tc>
                <w:tcPr>
                  <w:tcW w:w="1346" w:type="dxa"/>
                  <w:vMerge w:val="continue"/>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p>
              </w:tc>
              <w:tc>
                <w:tcPr>
                  <w:tcW w:w="1199"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夜间</w:t>
                  </w:r>
                </w:p>
              </w:tc>
              <w:tc>
                <w:tcPr>
                  <w:tcW w:w="1053" w:type="dxa"/>
                  <w:tcBorders>
                    <w:tl2br w:val="nil"/>
                    <w:tr2bl w:val="nil"/>
                  </w:tcBorders>
                  <w:noWrap w:val="0"/>
                  <w:vAlign w:val="center"/>
                </w:tcPr>
                <w:p>
                  <w:pPr>
                    <w:adjustRightInd w:val="0"/>
                    <w:snapToGrid w:val="0"/>
                    <w:spacing w:line="2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55</w:t>
                  </w:r>
                </w:p>
              </w:tc>
              <w:tc>
                <w:tcPr>
                  <w:tcW w:w="1710" w:type="dxa"/>
                  <w:vMerge w:val="continue"/>
                  <w:tcBorders>
                    <w:tl2br w:val="nil"/>
                    <w:tr2bl w:val="nil"/>
                  </w:tcBorders>
                  <w:noWrap w:val="0"/>
                  <w:vAlign w:val="center"/>
                </w:tcPr>
                <w:p>
                  <w:pPr>
                    <w:adjustRightInd w:val="0"/>
                    <w:snapToGrid w:val="0"/>
                    <w:jc w:val="center"/>
                    <w:rPr>
                      <w:rFonts w:hint="default" w:ascii="Times New Roman" w:hAnsi="Times New Roman" w:cs="Times New Roman"/>
                      <w:bCs/>
                      <w:color w:val="0000FF"/>
                      <w:sz w:val="21"/>
                      <w:szCs w:val="21"/>
                    </w:rPr>
                  </w:pPr>
                </w:p>
              </w:tc>
            </w:tr>
          </w:tbl>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119" w:name="_Toc9529"/>
            <w:r>
              <w:rPr>
                <w:rFonts w:hint="default" w:ascii="Times New Roman" w:hAnsi="Times New Roman" w:eastAsia="宋体" w:cs="Times New Roman"/>
                <w:b/>
                <w:bCs/>
                <w:color w:val="auto"/>
                <w:highlight w:val="none"/>
                <w:lang w:val="en-US" w:eastAsia="zh-CN"/>
              </w:rPr>
              <w:t>3.3.4  固体废物</w:t>
            </w:r>
            <w:bookmarkEnd w:id="112"/>
            <w:bookmarkEnd w:id="113"/>
            <w:bookmarkEnd w:id="114"/>
            <w:bookmarkEnd w:id="115"/>
            <w:bookmarkEnd w:id="116"/>
            <w:bookmarkEnd w:id="117"/>
            <w:bookmarkEnd w:id="118"/>
            <w:bookmarkEnd w:id="119"/>
          </w:p>
          <w:p>
            <w:pPr>
              <w:pStyle w:val="8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0000FF"/>
                <w:szCs w:val="21"/>
              </w:rPr>
            </w:pPr>
            <w:r>
              <w:rPr>
                <w:rFonts w:hint="default" w:ascii="Times New Roman" w:hAnsi="Times New Roman" w:cs="Times New Roman"/>
                <w:color w:val="auto"/>
                <w:kern w:val="0"/>
                <w:sz w:val="24"/>
                <w:szCs w:val="20"/>
                <w:highlight w:val="none"/>
                <w:lang w:eastAsia="zh-CN"/>
              </w:rPr>
              <w:t>项目</w:t>
            </w:r>
            <w:r>
              <w:rPr>
                <w:rFonts w:hint="default" w:ascii="Times New Roman" w:hAnsi="Times New Roman" w:cs="Times New Roman"/>
                <w:color w:val="auto"/>
                <w:kern w:val="0"/>
                <w:sz w:val="24"/>
                <w:szCs w:val="20"/>
                <w:highlight w:val="none"/>
              </w:rPr>
              <w:t>一般工业固废贮存、处置执行《一般工业固体废物贮存和填埋污染控制标准》(GB 18599-2020)有关规定，危险废物临时贮存执行《危险废物贮存污染控制标准》（GB 18597-2023），外运处置执行《危险废物转移联单管理办法》</w:t>
            </w:r>
            <w:r>
              <w:rPr>
                <w:rFonts w:hint="default" w:ascii="Times New Roman" w:hAnsi="Times New Roman" w:cs="Times New Roman"/>
                <w:color w:val="auto"/>
                <w:kern w:val="0"/>
                <w:sz w:val="24"/>
                <w:szCs w:val="20"/>
                <w:highlight w:val="none"/>
                <w:lang w:eastAsia="zh-CN"/>
              </w:rPr>
              <w:t>，危险废物的管理执行</w:t>
            </w:r>
            <w:r>
              <w:rPr>
                <w:rFonts w:hint="default" w:ascii="Times New Roman" w:hAnsi="Times New Roman" w:cs="Times New Roman"/>
                <w:color w:val="auto"/>
                <w:kern w:val="0"/>
                <w:sz w:val="24"/>
                <w:szCs w:val="20"/>
                <w:highlight w:val="none"/>
                <w:lang w:val="en-US" w:eastAsia="zh-CN"/>
              </w:rPr>
              <w:t>《福建省环保厅</w:t>
            </w:r>
            <w:r>
              <w:rPr>
                <w:rFonts w:hint="default" w:ascii="Times New Roman" w:hAnsi="Times New Roman" w:cs="Times New Roman"/>
                <w:color w:val="auto"/>
                <w:lang w:val="en-US" w:eastAsia="zh-CN"/>
              </w:rPr>
              <w:t>关于应用全省固体废物环境监管平台的通知》</w:t>
            </w:r>
            <w:r>
              <w:rPr>
                <w:rFonts w:hint="default" w:ascii="Times New Roman" w:hAnsi="Times New Roman"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74" w:type="pct"/>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adjustRightInd w:val="0"/>
              <w:snapToGrid w:val="0"/>
              <w:jc w:val="center"/>
              <w:rPr>
                <w:rFonts w:hint="default" w:ascii="Times New Roman" w:hAnsi="Times New Roman" w:cs="Times New Roman"/>
                <w:color w:val="0000FF"/>
                <w:kern w:val="0"/>
                <w:szCs w:val="21"/>
              </w:rPr>
            </w:pPr>
            <w:r>
              <w:rPr>
                <w:rFonts w:hint="default" w:ascii="Times New Roman" w:hAnsi="Times New Roman" w:cs="Times New Roman"/>
                <w:color w:val="auto"/>
                <w:kern w:val="0"/>
                <w:sz w:val="24"/>
                <w:szCs w:val="24"/>
              </w:rPr>
              <w:t>指标</w:t>
            </w:r>
          </w:p>
        </w:tc>
        <w:tc>
          <w:tcPr>
            <w:tcW w:w="4625" w:type="pct"/>
            <w:noWrap w:val="0"/>
            <w:vAlign w:val="center"/>
          </w:tcPr>
          <w:p>
            <w:pPr>
              <w:pStyle w:val="4"/>
              <w:keepNext/>
              <w:keepLines/>
              <w:pageBreakBefore w:val="0"/>
              <w:widowControl w:val="0"/>
              <w:numPr>
                <w:ilvl w:val="0"/>
                <w:numId w:val="0"/>
              </w:numPr>
              <w:tabs>
                <w:tab w:val="left" w:pos="900"/>
              </w:tabs>
              <w:kinsoku/>
              <w:wordWrap/>
              <w:overflowPunct/>
              <w:topLinePunct w:val="0"/>
              <w:autoSpaceDE/>
              <w:autoSpaceDN/>
              <w:bidi w:val="0"/>
              <w:adjustRightInd w:val="0"/>
              <w:snapToGrid w:val="0"/>
              <w:spacing w:before="219" w:beforeLines="70" w:after="219" w:afterLines="70" w:line="240" w:lineRule="auto"/>
              <w:jc w:val="left"/>
              <w:textAlignment w:val="auto"/>
              <w:rPr>
                <w:rFonts w:hint="default" w:ascii="Times New Roman" w:hAnsi="Times New Roman" w:eastAsia="宋体" w:cs="Times New Roman"/>
                <w:b/>
                <w:bCs/>
                <w:smallCaps/>
                <w:snapToGrid/>
                <w:color w:val="auto"/>
                <w:sz w:val="30"/>
                <w:szCs w:val="30"/>
                <w:highlight w:val="none"/>
              </w:rPr>
            </w:pPr>
            <w:bookmarkStart w:id="120" w:name="_Toc30236"/>
            <w:bookmarkStart w:id="121" w:name="_Toc25804"/>
            <w:bookmarkStart w:id="122" w:name="_Toc13085"/>
            <w:bookmarkStart w:id="123" w:name="_Toc21929"/>
            <w:bookmarkStart w:id="124" w:name="_Toc2833"/>
            <w:r>
              <w:rPr>
                <w:rFonts w:hint="default" w:ascii="Times New Roman" w:hAnsi="Times New Roman" w:eastAsia="宋体" w:cs="Times New Roman"/>
                <w:b/>
                <w:bCs/>
                <w:smallCaps/>
                <w:snapToGrid/>
                <w:color w:val="auto"/>
                <w:sz w:val="30"/>
                <w:szCs w:val="30"/>
                <w:highlight w:val="none"/>
              </w:rPr>
              <w:t>3.4  总量控制</w:t>
            </w:r>
            <w:bookmarkEnd w:id="120"/>
            <w:bookmarkEnd w:id="121"/>
            <w:bookmarkEnd w:id="122"/>
            <w:bookmarkEnd w:id="123"/>
            <w:bookmarkEnd w:id="12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根据环境保护部对“十三五”期间总量控制的要求，我省主要污染物排放总量指标为COD</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eastAsia" w:ascii="Times New Roman" w:hAnsi="Times New Roman" w:eastAsia="宋体" w:cs="Times New Roman"/>
                <w:snapToGrid w:val="0"/>
                <w:color w:val="auto"/>
                <w:kern w:val="0"/>
                <w:sz w:val="24"/>
                <w:szCs w:val="24"/>
                <w:highlight w:val="none"/>
                <w:lang w:val="en-US" w:eastAsia="zh-CN" w:bidi="ar-SA"/>
              </w:rPr>
              <w:t>福安市青拓环保建材有限公司</w:t>
            </w:r>
            <w:r>
              <w:rPr>
                <w:rFonts w:hint="default" w:ascii="Times New Roman" w:hAnsi="Times New Roman" w:cs="Times New Roman"/>
                <w:color w:val="auto"/>
                <w:sz w:val="24"/>
                <w:szCs w:val="24"/>
                <w:lang w:eastAsia="zh-CN"/>
              </w:rPr>
              <w:t>现有排污许可总量控制指标见下表</w:t>
            </w:r>
            <w:r>
              <w:rPr>
                <w:rFonts w:hint="default" w:ascii="Times New Roman" w:hAnsi="Times New Roman" w:cs="Times New Roman"/>
                <w:color w:val="auto"/>
                <w:sz w:val="24"/>
                <w:szCs w:val="24"/>
                <w:lang w:val="en-US" w:eastAsia="zh-CN"/>
              </w:rPr>
              <w:t>3.4-1</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-1  </w:t>
            </w:r>
            <w:r>
              <w:rPr>
                <w:rFonts w:hint="eastAsia" w:ascii="Times New Roman" w:hAnsi="Times New Roman" w:eastAsia="宋体" w:cs="Times New Roman"/>
                <w:b/>
                <w:bCs/>
                <w:color w:val="auto"/>
                <w:sz w:val="24"/>
                <w:szCs w:val="24"/>
                <w:lang w:val="en-US" w:eastAsia="zh-CN"/>
              </w:rPr>
              <w:t>福安市青拓环保建材有限公司</w:t>
            </w:r>
            <w:r>
              <w:rPr>
                <w:rFonts w:hint="default" w:ascii="Times New Roman" w:hAnsi="Times New Roman" w:eastAsia="宋体" w:cs="Times New Roman"/>
                <w:b/>
                <w:bCs/>
                <w:color w:val="auto"/>
                <w:sz w:val="24"/>
                <w:szCs w:val="24"/>
                <w:lang w:val="en-US" w:eastAsia="zh-CN"/>
              </w:rPr>
              <w:t>排污许可总量一览表</w:t>
            </w:r>
          </w:p>
          <w:tbl>
            <w:tblPr>
              <w:tblStyle w:val="34"/>
              <w:tblW w:w="8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50"/>
              <w:gridCol w:w="938"/>
              <w:gridCol w:w="899"/>
              <w:gridCol w:w="899"/>
              <w:gridCol w:w="849"/>
              <w:gridCol w:w="913"/>
              <w:gridCol w:w="110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17" w:type="pct"/>
                  <w:vMerge w:val="restar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 xml:space="preserve">类别 </w:t>
                  </w:r>
                </w:p>
              </w:tc>
              <w:tc>
                <w:tcPr>
                  <w:tcW w:w="687" w:type="pct"/>
                  <w:vMerge w:val="restart"/>
                </w:tcPr>
                <w:p>
                  <w:pPr>
                    <w:adjustRightInd w:val="0"/>
                    <w:snapToGrid w:val="0"/>
                    <w:spacing w:line="260" w:lineRule="exac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 xml:space="preserve">污染物 </w:t>
                  </w:r>
                </w:p>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名称</w:t>
                  </w:r>
                </w:p>
              </w:tc>
              <w:tc>
                <w:tcPr>
                  <w:tcW w:w="560" w:type="pct"/>
                  <w:vMerge w:val="restar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现有排放量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tc>
              <w:tc>
                <w:tcPr>
                  <w:tcW w:w="1581" w:type="pct"/>
                  <w:gridSpan w:val="3"/>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技改项目</w:t>
                  </w:r>
                </w:p>
              </w:tc>
              <w:tc>
                <w:tcPr>
                  <w:tcW w:w="545" w:type="pct"/>
                  <w:vMerge w:val="restart"/>
                </w:tcPr>
                <w:p>
                  <w:pPr>
                    <w:adjustRightInd w:val="0"/>
                    <w:snapToGrid w:val="0"/>
                    <w:spacing w:line="2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以新带老</w:t>
                  </w:r>
                  <w:r>
                    <w:rPr>
                      <w:rFonts w:hint="default" w:ascii="Times New Roman" w:hAnsi="Times New Roman" w:eastAsia="宋体" w:cs="Times New Roman"/>
                      <w:bCs/>
                      <w:color w:val="auto"/>
                      <w:sz w:val="21"/>
                      <w:szCs w:val="21"/>
                      <w:lang w:val="en-US" w:eastAsia="zh-CN"/>
                    </w:rPr>
                    <w:t xml:space="preserve">” </w:t>
                  </w:r>
                </w:p>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削减量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tc>
              <w:tc>
                <w:tcPr>
                  <w:tcW w:w="660" w:type="pct"/>
                  <w:vMerge w:val="restart"/>
                </w:tcPr>
                <w:p>
                  <w:pPr>
                    <w:adjustRightInd w:val="0"/>
                    <w:snapToGrid w:val="0"/>
                    <w:spacing w:line="260" w:lineRule="exact"/>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 xml:space="preserve">排放 </w:t>
                  </w:r>
                </w:p>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增减量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tc>
              <w:tc>
                <w:tcPr>
                  <w:tcW w:w="546" w:type="pct"/>
                  <w:vMerge w:val="restart"/>
                </w:tcPr>
                <w:p>
                  <w:pPr>
                    <w:adjustRightInd w:val="0"/>
                    <w:snapToGrid w:val="0"/>
                    <w:spacing w:line="260" w:lineRule="exact"/>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排放总量</w:t>
                  </w:r>
                </w:p>
                <w:p>
                  <w:pPr>
                    <w:adjustRightInd w:val="0"/>
                    <w:snapToGrid w:val="0"/>
                    <w:spacing w:line="260" w:lineRule="exact"/>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p>
              </w:tc>
              <w:tc>
                <w:tcPr>
                  <w:tcW w:w="687" w:type="pct"/>
                  <w:vMerge w:val="continue"/>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p>
              </w:tc>
              <w:tc>
                <w:tcPr>
                  <w:tcW w:w="560" w:type="pct"/>
                  <w:vMerge w:val="continue"/>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产生量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消减量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tc>
              <w:tc>
                <w:tcPr>
                  <w:tcW w:w="506"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排放量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tc>
              <w:tc>
                <w:tcPr>
                  <w:tcW w:w="545" w:type="pct"/>
                  <w:vMerge w:val="continue"/>
                </w:tcPr>
                <w:p>
                  <w:pPr>
                    <w:adjustRightInd w:val="0"/>
                    <w:snapToGrid w:val="0"/>
                    <w:spacing w:line="260" w:lineRule="exact"/>
                    <w:jc w:val="center"/>
                    <w:rPr>
                      <w:rFonts w:hint="eastAsia" w:ascii="Times New Roman" w:hAnsi="Times New Roman" w:eastAsia="宋体" w:cs="Times New Roman"/>
                      <w:bCs/>
                      <w:color w:val="auto"/>
                      <w:sz w:val="21"/>
                      <w:szCs w:val="21"/>
                      <w:lang w:val="en-US" w:eastAsia="zh-CN"/>
                    </w:rPr>
                  </w:pPr>
                </w:p>
              </w:tc>
              <w:tc>
                <w:tcPr>
                  <w:tcW w:w="660" w:type="pct"/>
                  <w:vMerge w:val="continue"/>
                </w:tcPr>
                <w:p>
                  <w:pPr>
                    <w:adjustRightInd w:val="0"/>
                    <w:snapToGrid w:val="0"/>
                    <w:spacing w:line="260" w:lineRule="exact"/>
                    <w:jc w:val="center"/>
                    <w:rPr>
                      <w:rFonts w:hint="eastAsia" w:ascii="Times New Roman" w:hAnsi="Times New Roman" w:eastAsia="宋体" w:cs="Times New Roman"/>
                      <w:bCs/>
                      <w:color w:val="auto"/>
                      <w:sz w:val="21"/>
                      <w:szCs w:val="21"/>
                      <w:lang w:val="en-US" w:eastAsia="zh-CN"/>
                    </w:rPr>
                  </w:pPr>
                </w:p>
              </w:tc>
              <w:tc>
                <w:tcPr>
                  <w:tcW w:w="546" w:type="pct"/>
                  <w:vMerge w:val="continue"/>
                </w:tcPr>
                <w:p>
                  <w:pPr>
                    <w:adjustRightInd w:val="0"/>
                    <w:snapToGrid w:val="0"/>
                    <w:spacing w:line="260" w:lineRule="exact"/>
                    <w:jc w:val="center"/>
                    <w:rPr>
                      <w:rFonts w:hint="eastAsia" w:ascii="Times New Roman" w:hAnsi="Times New Roman" w:eastAsia="宋体" w:cs="Times New Roman"/>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restar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废气</w:t>
                  </w:r>
                </w:p>
              </w:tc>
              <w:tc>
                <w:tcPr>
                  <w:tcW w:w="68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粉尘</w:t>
                  </w:r>
                </w:p>
              </w:tc>
              <w:tc>
                <w:tcPr>
                  <w:tcW w:w="560"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266.11</w:t>
                  </w: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2160</w:t>
                  </w: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06"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w:t>
                  </w:r>
                  <w:r>
                    <w:rPr>
                      <w:rFonts w:hint="eastAsia" w:cs="Times New Roman"/>
                      <w:bCs/>
                      <w:color w:val="auto"/>
                      <w:sz w:val="21"/>
                      <w:szCs w:val="21"/>
                      <w:lang w:val="en-US" w:eastAsia="zh-CN"/>
                    </w:rPr>
                    <w:t>38</w:t>
                  </w:r>
                </w:p>
              </w:tc>
              <w:tc>
                <w:tcPr>
                  <w:tcW w:w="545"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660"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r>
                    <w:rPr>
                      <w:rFonts w:hint="eastAsia" w:cs="Times New Roman"/>
                      <w:bCs/>
                      <w:color w:val="auto"/>
                      <w:sz w:val="21"/>
                      <w:szCs w:val="21"/>
                      <w:lang w:val="en-US" w:eastAsia="zh-CN"/>
                    </w:rPr>
                    <w:t>21.38</w:t>
                  </w:r>
                </w:p>
              </w:tc>
              <w:tc>
                <w:tcPr>
                  <w:tcW w:w="546"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287.49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p>
              </w:tc>
              <w:tc>
                <w:tcPr>
                  <w:tcW w:w="68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SO</w:t>
                  </w:r>
                  <w:r>
                    <w:rPr>
                      <w:rFonts w:hint="default" w:ascii="Times New Roman" w:hAnsi="Times New Roman" w:eastAsia="宋体" w:cs="Times New Roman"/>
                      <w:bCs/>
                      <w:color w:val="auto"/>
                      <w:sz w:val="21"/>
                      <w:szCs w:val="21"/>
                      <w:vertAlign w:val="subscript"/>
                      <w:lang w:val="en-US" w:eastAsia="zh-CN"/>
                    </w:rPr>
                    <w:t>2</w:t>
                  </w:r>
                </w:p>
              </w:tc>
              <w:tc>
                <w:tcPr>
                  <w:tcW w:w="560"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52.9</w:t>
                  </w: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06"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45"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660"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46"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7" w:type="pct"/>
                  <w:vMerge w:val="continue"/>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p>
              </w:tc>
              <w:tc>
                <w:tcPr>
                  <w:tcW w:w="68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NO</w:t>
                  </w:r>
                  <w:r>
                    <w:rPr>
                      <w:rFonts w:hint="default" w:ascii="Times New Roman" w:hAnsi="Times New Roman" w:eastAsia="宋体" w:cs="Times New Roman"/>
                      <w:bCs/>
                      <w:color w:val="auto"/>
                      <w:sz w:val="21"/>
                      <w:szCs w:val="21"/>
                      <w:vertAlign w:val="subscript"/>
                      <w:lang w:val="en-US" w:eastAsia="zh-CN"/>
                    </w:rPr>
                    <w:t>X</w:t>
                  </w:r>
                </w:p>
              </w:tc>
              <w:tc>
                <w:tcPr>
                  <w:tcW w:w="560"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210.71 </w:t>
                  </w: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37"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06"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45"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660" w:type="pc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46"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xml:space="preserve">210.71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restart"/>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固废</w:t>
                  </w:r>
                </w:p>
              </w:tc>
              <w:tc>
                <w:tcPr>
                  <w:tcW w:w="687" w:type="pct"/>
                  <w:vAlign w:val="center"/>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除尘灰</w:t>
                  </w:r>
                </w:p>
              </w:tc>
              <w:tc>
                <w:tcPr>
                  <w:tcW w:w="560" w:type="pct"/>
                  <w:vAlign w:val="center"/>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537"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highlight w:val="none"/>
                      <w:lang w:val="en-US" w:eastAsia="zh-CN"/>
                    </w:rPr>
                    <w:t>2117.02</w:t>
                  </w:r>
                </w:p>
              </w:tc>
              <w:tc>
                <w:tcPr>
                  <w:tcW w:w="537"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06"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545"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660"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r>
                    <w:rPr>
                      <w:rFonts w:hint="eastAsia" w:cs="Times New Roman"/>
                      <w:color w:val="auto"/>
                      <w:sz w:val="21"/>
                      <w:szCs w:val="21"/>
                      <w:highlight w:val="none"/>
                      <w:lang w:val="en-US" w:eastAsia="zh-CN"/>
                    </w:rPr>
                    <w:t>2117.02</w:t>
                  </w:r>
                </w:p>
              </w:tc>
              <w:tc>
                <w:tcPr>
                  <w:tcW w:w="546" w:type="pct"/>
                  <w:vAlign w:val="top"/>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highlight w:val="none"/>
                      <w:lang w:val="en-US" w:eastAsia="zh-CN"/>
                    </w:rPr>
                    <w:t>2117.02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Merge w:val="continue"/>
                </w:tcPr>
                <w:p>
                  <w:pPr>
                    <w:adjustRightInd w:val="0"/>
                    <w:snapToGrid w:val="0"/>
                    <w:spacing w:line="260" w:lineRule="exact"/>
                    <w:jc w:val="center"/>
                    <w:rPr>
                      <w:rFonts w:hint="default" w:ascii="Times New Roman" w:hAnsi="Times New Roman" w:eastAsia="宋体" w:cs="Times New Roman"/>
                      <w:bCs/>
                      <w:color w:val="auto"/>
                      <w:sz w:val="21"/>
                      <w:szCs w:val="21"/>
                      <w:lang w:val="en-US" w:eastAsia="zh-CN"/>
                    </w:rPr>
                  </w:pPr>
                </w:p>
              </w:tc>
              <w:tc>
                <w:tcPr>
                  <w:tcW w:w="687" w:type="pct"/>
                  <w:vAlign w:val="center"/>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废矿物油</w:t>
                  </w:r>
                </w:p>
              </w:tc>
              <w:tc>
                <w:tcPr>
                  <w:tcW w:w="560" w:type="pct"/>
                  <w:vAlign w:val="center"/>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0.5</w:t>
                  </w:r>
                </w:p>
              </w:tc>
              <w:tc>
                <w:tcPr>
                  <w:tcW w:w="537" w:type="pct"/>
                  <w:vAlign w:val="top"/>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0.5</w:t>
                  </w:r>
                </w:p>
              </w:tc>
              <w:tc>
                <w:tcPr>
                  <w:tcW w:w="537" w:type="pct"/>
                  <w:vAlign w:val="top"/>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506" w:type="pct"/>
                  <w:vAlign w:val="top"/>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0.5</w:t>
                  </w:r>
                </w:p>
              </w:tc>
              <w:tc>
                <w:tcPr>
                  <w:tcW w:w="545" w:type="pct"/>
                  <w:vAlign w:val="top"/>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p>
              </w:tc>
              <w:tc>
                <w:tcPr>
                  <w:tcW w:w="660" w:type="pct"/>
                  <w:vAlign w:val="top"/>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+0.5</w:t>
                  </w:r>
                </w:p>
              </w:tc>
              <w:tc>
                <w:tcPr>
                  <w:tcW w:w="546" w:type="pct"/>
                  <w:vAlign w:val="top"/>
                </w:tcPr>
                <w:p>
                  <w:pPr>
                    <w:adjustRightInd w:val="0"/>
                    <w:snapToGrid w:val="0"/>
                    <w:spacing w:line="260" w:lineRule="exact"/>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w:t>
                  </w:r>
                </w:p>
              </w:tc>
            </w:tr>
          </w:tbl>
          <w:p>
            <w:pPr>
              <w:pStyle w:val="8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FF"/>
                <w:lang w:val="en-US" w:eastAsia="zh-CN"/>
              </w:rPr>
            </w:pPr>
            <w:r>
              <w:rPr>
                <w:rFonts w:hint="default" w:ascii="Times New Roman" w:hAnsi="Times New Roman" w:eastAsia="宋体" w:cs="Times New Roman"/>
                <w:snapToGrid w:val="0"/>
                <w:color w:val="auto"/>
                <w:kern w:val="0"/>
                <w:sz w:val="21"/>
                <w:szCs w:val="21"/>
                <w:highlight w:val="none"/>
                <w:lang w:val="en-US" w:eastAsia="zh-CN"/>
              </w:rPr>
              <w:t>注：</w:t>
            </w:r>
            <w:r>
              <w:rPr>
                <w:rFonts w:hint="default" w:ascii="Times New Roman" w:hAnsi="Times New Roman" w:eastAsia="黑体" w:cs="Times New Roman"/>
                <w:snapToGrid w:val="0"/>
                <w:color w:val="auto"/>
                <w:spacing w:val="-6"/>
                <w:kern w:val="21"/>
                <w:szCs w:val="21"/>
                <w:highlight w:val="none"/>
                <w:vertAlign w:val="baseline"/>
                <w:lang w:val="en-US" w:eastAsia="zh-CN"/>
              </w:rPr>
              <w:t>①</w:t>
            </w:r>
            <w:r>
              <w:rPr>
                <w:rFonts w:hint="default" w:ascii="Times New Roman" w:hAnsi="Times New Roman" w:cs="Times New Roman"/>
                <w:snapToGrid w:val="0"/>
                <w:color w:val="auto"/>
                <w:kern w:val="0"/>
                <w:sz w:val="21"/>
                <w:szCs w:val="21"/>
                <w:highlight w:val="none"/>
                <w:lang w:val="en-US" w:eastAsia="zh-CN"/>
              </w:rPr>
              <w:t>现有</w:t>
            </w:r>
            <w:r>
              <w:rPr>
                <w:rFonts w:hint="default" w:ascii="Times New Roman" w:hAnsi="Times New Roman" w:eastAsia="宋体" w:cs="Times New Roman"/>
                <w:snapToGrid w:val="0"/>
                <w:color w:val="auto"/>
                <w:kern w:val="0"/>
                <w:sz w:val="21"/>
                <w:szCs w:val="21"/>
                <w:highlight w:val="none"/>
                <w:lang w:val="en-US" w:eastAsia="zh-CN"/>
              </w:rPr>
              <w:t>工程</w:t>
            </w:r>
            <w:r>
              <w:rPr>
                <w:rFonts w:hint="default" w:ascii="Times New Roman" w:hAnsi="Times New Roman" w:cs="Times New Roman"/>
                <w:snapToGrid w:val="0"/>
                <w:color w:val="auto"/>
                <w:kern w:val="0"/>
                <w:sz w:val="21"/>
                <w:szCs w:val="21"/>
                <w:highlight w:val="none"/>
                <w:lang w:val="en-US" w:eastAsia="zh-CN"/>
              </w:rPr>
              <w:t>许可排放量</w:t>
            </w:r>
            <w:r>
              <w:rPr>
                <w:rFonts w:hint="default" w:ascii="Times New Roman" w:hAnsi="Times New Roman" w:eastAsia="宋体" w:cs="Times New Roman"/>
                <w:snapToGrid w:val="0"/>
                <w:color w:val="auto"/>
                <w:kern w:val="0"/>
                <w:sz w:val="21"/>
                <w:szCs w:val="21"/>
                <w:highlight w:val="none"/>
                <w:lang w:val="en-US" w:eastAsia="zh-CN"/>
              </w:rPr>
              <w:t>源自《《福安市青拓环保建材有限公司年处理300万吨工业废渣综合利用项目环境影响报告书》</w:t>
            </w:r>
            <w:r>
              <w:rPr>
                <w:rFonts w:hint="eastAsia" w:ascii="Times New Roman" w:hAnsi="Times New Roman" w:cs="Times New Roman"/>
                <w:snapToGrid w:val="0"/>
                <w:color w:val="auto"/>
                <w:kern w:val="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182" w:beforeLines="5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w:t>
            </w:r>
            <w:r>
              <w:rPr>
                <w:rFonts w:hint="eastAsia" w:cs="Times New Roman"/>
                <w:color w:val="auto"/>
                <w:sz w:val="24"/>
                <w:szCs w:val="24"/>
                <w:lang w:val="en-US" w:eastAsia="zh-CN"/>
              </w:rPr>
              <w:t>无生产</w:t>
            </w:r>
            <w:r>
              <w:rPr>
                <w:rFonts w:hint="default" w:ascii="Times New Roman" w:hAnsi="Times New Roman" w:cs="Times New Roman"/>
                <w:color w:val="auto"/>
                <w:sz w:val="24"/>
                <w:szCs w:val="24"/>
                <w:lang w:val="en-US" w:eastAsia="zh-CN"/>
              </w:rPr>
              <w:t>废水，</w:t>
            </w:r>
            <w:r>
              <w:rPr>
                <w:rFonts w:hint="eastAsia" w:cs="Times New Roman"/>
                <w:color w:val="auto"/>
                <w:sz w:val="24"/>
                <w:szCs w:val="24"/>
                <w:lang w:val="en-US" w:eastAsia="zh-CN"/>
              </w:rPr>
              <w:t>废气主要污染为颗粒物，</w:t>
            </w:r>
            <w:r>
              <w:rPr>
                <w:rFonts w:hint="default" w:ascii="Times New Roman" w:hAnsi="Times New Roman" w:cs="Times New Roman"/>
                <w:color w:val="auto"/>
                <w:sz w:val="24"/>
                <w:szCs w:val="24"/>
                <w:lang w:val="en-US" w:eastAsia="zh-CN"/>
              </w:rPr>
              <w:t>因此本项目完成后</w:t>
            </w:r>
            <w:r>
              <w:rPr>
                <w:rFonts w:hint="eastAsia" w:cs="Times New Roman"/>
                <w:color w:val="auto"/>
                <w:sz w:val="24"/>
                <w:szCs w:val="24"/>
                <w:lang w:val="en-US" w:eastAsia="zh-CN"/>
              </w:rPr>
              <w:t>无</w:t>
            </w:r>
            <w:r>
              <w:rPr>
                <w:rFonts w:hint="default" w:ascii="Times New Roman" w:hAnsi="Times New Roman" w:cs="Times New Roman"/>
                <w:color w:val="auto"/>
                <w:sz w:val="24"/>
                <w:szCs w:val="24"/>
                <w:lang w:val="en-US" w:eastAsia="zh-CN"/>
              </w:rPr>
              <w:t>新增</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lang w:val="en-US" w:eastAsia="zh-CN"/>
              </w:rPr>
              <w:t>总量指标</w:t>
            </w:r>
            <w:r>
              <w:rPr>
                <w:rFonts w:hint="eastAsia" w:cs="Times New Roman"/>
                <w:color w:val="auto"/>
                <w:sz w:val="24"/>
                <w:szCs w:val="24"/>
                <w:lang w:val="en-US" w:eastAsia="zh-CN"/>
              </w:rPr>
              <w:t>，无需</w:t>
            </w:r>
            <w:r>
              <w:rPr>
                <w:rFonts w:hint="default" w:ascii="Times New Roman" w:hAnsi="Times New Roman" w:cs="Times New Roman"/>
                <w:color w:val="auto"/>
                <w:sz w:val="24"/>
                <w:szCs w:val="24"/>
                <w:lang w:val="en-US" w:eastAsia="zh-CN"/>
              </w:rPr>
              <w:t>购买总量指标</w:t>
            </w:r>
            <w:r>
              <w:rPr>
                <w:rFonts w:hint="eastAsia"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182" w:beforeLines="50" w:line="360" w:lineRule="auto"/>
              <w:ind w:firstLine="480" w:firstLineChars="200"/>
              <w:jc w:val="both"/>
              <w:textAlignment w:val="auto"/>
              <w:rPr>
                <w:rFonts w:hint="default" w:ascii="Times New Roman" w:hAnsi="Times New Roman" w:eastAsia="宋体" w:cs="Times New Roman"/>
                <w:color w:val="0000FF"/>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before="182" w:beforeLines="50" w:line="360" w:lineRule="auto"/>
              <w:ind w:firstLine="480" w:firstLineChars="200"/>
              <w:jc w:val="both"/>
              <w:textAlignment w:val="auto"/>
              <w:rPr>
                <w:rFonts w:hint="default" w:ascii="Times New Roman" w:hAnsi="Times New Roman" w:cs="Times New Roman"/>
                <w:color w:val="0000FF"/>
                <w:sz w:val="24"/>
                <w:szCs w:val="24"/>
              </w:rPr>
            </w:pPr>
          </w:p>
          <w:p>
            <w:pPr>
              <w:bidi w:val="0"/>
              <w:rPr>
                <w:rFonts w:hint="default" w:ascii="Times New Roman" w:hAnsi="Times New Roman" w:cs="Times New Roman"/>
                <w:color w:val="0000FF"/>
              </w:rPr>
            </w:pPr>
          </w:p>
          <w:p>
            <w:pPr>
              <w:bidi w:val="0"/>
              <w:rPr>
                <w:rFonts w:hint="default" w:ascii="Times New Roman" w:hAnsi="Times New Roman" w:cs="Times New Roman"/>
                <w:color w:val="0000FF"/>
              </w:rPr>
            </w:pPr>
          </w:p>
          <w:p>
            <w:pPr>
              <w:bidi w:val="0"/>
              <w:rPr>
                <w:rFonts w:hint="default" w:ascii="Times New Roman" w:hAnsi="Times New Roman" w:cs="Times New Roman"/>
                <w:color w:val="0000FF"/>
              </w:rPr>
            </w:pPr>
          </w:p>
          <w:p>
            <w:pPr>
              <w:bidi w:val="0"/>
              <w:rPr>
                <w:rFonts w:hint="default" w:ascii="Times New Roman" w:hAnsi="Times New Roman" w:cs="Times New Roman"/>
                <w:color w:val="0000FF"/>
              </w:rPr>
            </w:pPr>
          </w:p>
          <w:p>
            <w:pPr>
              <w:rPr>
                <w:rFonts w:hint="default" w:ascii="Times New Roman" w:hAnsi="Times New Roman" w:cs="Times New Roman"/>
                <w:color w:val="0000FF"/>
              </w:rPr>
            </w:pPr>
          </w:p>
        </w:tc>
      </w:tr>
    </w:tbl>
    <w:p>
      <w:pPr>
        <w:keepNext w:val="0"/>
        <w:keepLines w:val="0"/>
        <w:pageBreakBefore w:val="0"/>
        <w:widowControl/>
        <w:kinsoku/>
        <w:wordWrap/>
        <w:overflowPunct/>
        <w:topLinePunct w:val="0"/>
        <w:autoSpaceDE/>
        <w:autoSpaceDN/>
        <w:bidi w:val="0"/>
        <w:adjustRightInd/>
        <w:snapToGrid w:val="0"/>
        <w:spacing w:before="157" w:beforeLines="50" w:after="156" w:afterLines="50" w:line="240" w:lineRule="auto"/>
        <w:jc w:val="center"/>
        <w:textAlignment w:val="auto"/>
        <w:outlineLvl w:val="0"/>
        <w:rPr>
          <w:rFonts w:hint="default" w:ascii="Times New Roman" w:hAnsi="Times New Roman" w:eastAsia="黑体" w:cs="Times New Roman"/>
          <w:snapToGrid w:val="0"/>
          <w:color w:val="auto"/>
          <w:sz w:val="32"/>
          <w:szCs w:val="32"/>
          <w:highlight w:val="none"/>
          <w:lang w:val="en-US" w:eastAsia="zh-CN"/>
        </w:rPr>
      </w:pPr>
      <w:bookmarkStart w:id="125" w:name="_Toc25914"/>
      <w:bookmarkStart w:id="126" w:name="_Toc4856"/>
      <w:bookmarkStart w:id="127" w:name="_Toc14046"/>
      <w:bookmarkStart w:id="128" w:name="_Hlk54167917"/>
      <w:r>
        <w:rPr>
          <w:rFonts w:hint="default" w:ascii="Times New Roman" w:hAnsi="Times New Roman" w:eastAsia="黑体" w:cs="Times New Roman"/>
          <w:snapToGrid w:val="0"/>
          <w:color w:val="0000FF"/>
          <w:sz w:val="36"/>
          <w:szCs w:val="36"/>
        </w:rPr>
        <w:br w:type="page"/>
      </w:r>
      <w:bookmarkStart w:id="129" w:name="_Toc21945"/>
      <w:bookmarkStart w:id="130" w:name="_Toc1284"/>
      <w:bookmarkStart w:id="131" w:name="_Toc28928"/>
      <w:bookmarkStart w:id="132" w:name="_Toc23507"/>
      <w:r>
        <w:rPr>
          <w:rFonts w:hint="eastAsia" w:ascii="Times New Roman" w:hAnsi="Times New Roman" w:eastAsia="黑体" w:cs="Times New Roman"/>
          <w:snapToGrid w:val="0"/>
          <w:color w:val="auto"/>
          <w:kern w:val="0"/>
          <w:sz w:val="30"/>
          <w:szCs w:val="30"/>
          <w:highlight w:val="none"/>
          <w:lang w:val="en-US" w:eastAsia="zh-CN" w:bidi="ar-SA"/>
        </w:rPr>
        <w:t>四、</w:t>
      </w:r>
      <w:r>
        <w:rPr>
          <w:rFonts w:hint="default" w:ascii="Times New Roman" w:hAnsi="Times New Roman" w:eastAsia="黑体" w:cs="Times New Roman"/>
          <w:snapToGrid w:val="0"/>
          <w:color w:val="auto"/>
          <w:kern w:val="0"/>
          <w:sz w:val="30"/>
          <w:szCs w:val="30"/>
          <w:highlight w:val="none"/>
          <w:lang w:val="en-US" w:eastAsia="zh-CN" w:bidi="ar-SA"/>
        </w:rPr>
        <w:t>主要环境影响和保护措施</w:t>
      </w:r>
      <w:bookmarkEnd w:id="129"/>
      <w:bookmarkEnd w:id="130"/>
      <w:bookmarkEnd w:id="131"/>
      <w:bookmarkEnd w:id="132"/>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8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1" w:hRule="atLeast"/>
          <w:jc w:val="center"/>
        </w:trPr>
        <w:tc>
          <w:tcPr>
            <w:tcW w:w="276" w:type="pct"/>
            <w:noWrap w:val="0"/>
            <w:tcMar>
              <w:left w:w="28" w:type="dxa"/>
              <w:right w:w="28" w:type="dxa"/>
            </w:tcMar>
            <w:vAlign w:val="center"/>
          </w:tcPr>
          <w:p>
            <w:pPr>
              <w:pStyle w:val="29"/>
              <w:adjustRightInd w:val="0"/>
              <w:snapToGrid w:val="0"/>
              <w:spacing w:before="0" w:beforeAutospacing="0" w:after="0" w:afterAutospacing="0"/>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施工</w:t>
            </w:r>
          </w:p>
          <w:p>
            <w:pPr>
              <w:pStyle w:val="29"/>
              <w:adjustRightInd w:val="0"/>
              <w:snapToGrid w:val="0"/>
              <w:spacing w:before="0" w:beforeAutospacing="0" w:after="0" w:afterAutospacing="0"/>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期环</w:t>
            </w:r>
          </w:p>
          <w:p>
            <w:pPr>
              <w:pStyle w:val="29"/>
              <w:adjustRightInd w:val="0"/>
              <w:snapToGrid w:val="0"/>
              <w:spacing w:before="0" w:beforeAutospacing="0" w:after="0" w:afterAutospacing="0"/>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境保</w:t>
            </w:r>
          </w:p>
          <w:p>
            <w:pPr>
              <w:pStyle w:val="29"/>
              <w:adjustRightInd w:val="0"/>
              <w:snapToGrid w:val="0"/>
              <w:spacing w:before="0" w:beforeAutospacing="0" w:after="0" w:afterAutospacing="0"/>
              <w:jc w:val="center"/>
              <w:rPr>
                <w:rFonts w:hint="default" w:ascii="Times New Roman" w:hAnsi="Times New Roman" w:cs="Times New Roman"/>
                <w:color w:val="auto"/>
                <w:kern w:val="2"/>
                <w:sz w:val="24"/>
                <w:szCs w:val="24"/>
                <w:lang w:val="en-US" w:eastAsia="zh-CN"/>
              </w:rPr>
            </w:pPr>
            <w:r>
              <w:rPr>
                <w:rFonts w:hint="default" w:ascii="Times New Roman" w:hAnsi="Times New Roman" w:cs="Times New Roman"/>
                <w:color w:val="auto"/>
                <w:kern w:val="2"/>
                <w:sz w:val="24"/>
                <w:szCs w:val="24"/>
                <w:lang w:val="en-US" w:eastAsia="zh-CN"/>
              </w:rPr>
              <w:t>护措</w:t>
            </w:r>
          </w:p>
          <w:p>
            <w:pPr>
              <w:pStyle w:val="29"/>
              <w:adjustRightInd w:val="0"/>
              <w:snapToGrid w:val="0"/>
              <w:spacing w:before="0" w:beforeAutospacing="0" w:after="0" w:afterAutospacing="0"/>
              <w:jc w:val="center"/>
              <w:rPr>
                <w:rFonts w:hint="default" w:ascii="Times New Roman" w:hAnsi="Times New Roman" w:cs="Times New Roman"/>
                <w:bCs/>
                <w:color w:val="0000FF"/>
                <w:kern w:val="2"/>
                <w:sz w:val="21"/>
                <w:szCs w:val="21"/>
                <w:lang w:val="en-US" w:eastAsia="zh-CN"/>
              </w:rPr>
            </w:pPr>
            <w:r>
              <w:rPr>
                <w:rFonts w:hint="default" w:ascii="Times New Roman" w:hAnsi="Times New Roman" w:cs="Times New Roman"/>
                <w:color w:val="auto"/>
                <w:kern w:val="2"/>
                <w:sz w:val="24"/>
                <w:szCs w:val="24"/>
                <w:lang w:val="en-US" w:eastAsia="zh-CN"/>
              </w:rPr>
              <w:t>施</w:t>
            </w:r>
          </w:p>
        </w:tc>
        <w:tc>
          <w:tcPr>
            <w:tcW w:w="4723" w:type="pct"/>
            <w:noWrap w:val="0"/>
            <w:vAlign w:val="center"/>
          </w:tcPr>
          <w:p>
            <w:pPr>
              <w:pStyle w:val="4"/>
              <w:keepNext/>
              <w:keepLines/>
              <w:pageBreakBefore w:val="0"/>
              <w:widowControl w:val="0"/>
              <w:numPr>
                <w:ilvl w:val="0"/>
                <w:numId w:val="0"/>
              </w:numPr>
              <w:tabs>
                <w:tab w:val="left" w:pos="900"/>
              </w:tabs>
              <w:kinsoku/>
              <w:wordWrap/>
              <w:overflowPunct/>
              <w:topLinePunct w:val="0"/>
              <w:autoSpaceDE/>
              <w:autoSpaceDN/>
              <w:bidi w:val="0"/>
              <w:adjustRightInd w:val="0"/>
              <w:snapToGrid w:val="0"/>
              <w:spacing w:before="219" w:beforeLines="70" w:after="219" w:afterLines="70" w:line="240" w:lineRule="auto"/>
              <w:jc w:val="left"/>
              <w:textAlignment w:val="auto"/>
              <w:rPr>
                <w:rFonts w:hint="default" w:ascii="Times New Roman" w:hAnsi="Times New Roman" w:eastAsia="宋体" w:cs="Times New Roman"/>
                <w:b/>
                <w:bCs/>
                <w:smallCaps/>
                <w:snapToGrid/>
                <w:color w:val="auto"/>
                <w:sz w:val="30"/>
                <w:szCs w:val="30"/>
                <w:highlight w:val="none"/>
              </w:rPr>
            </w:pPr>
            <w:bookmarkStart w:id="133" w:name="_Toc15196"/>
            <w:bookmarkStart w:id="134" w:name="_Toc26648"/>
            <w:bookmarkStart w:id="135" w:name="_Toc8551"/>
            <w:bookmarkStart w:id="136" w:name="_Toc439935680"/>
            <w:bookmarkStart w:id="137" w:name="_Toc11450"/>
            <w:bookmarkStart w:id="138" w:name="_Toc444768510"/>
            <w:bookmarkStart w:id="139" w:name="_Toc18078"/>
            <w:bookmarkStart w:id="140" w:name="_Toc4898"/>
            <w:bookmarkStart w:id="141" w:name="_Toc4147"/>
            <w:bookmarkStart w:id="142" w:name="_Toc29669"/>
            <w:bookmarkStart w:id="143" w:name="_Toc444072853"/>
            <w:bookmarkStart w:id="144" w:name="_Toc27100"/>
            <w:bookmarkStart w:id="145" w:name="_Toc7152"/>
            <w:bookmarkStart w:id="146" w:name="_Toc90"/>
            <w:bookmarkStart w:id="147" w:name="_Toc14686"/>
            <w:bookmarkStart w:id="148" w:name="_Toc28651"/>
            <w:r>
              <w:rPr>
                <w:rFonts w:hint="default" w:ascii="Times New Roman" w:hAnsi="Times New Roman" w:eastAsia="宋体" w:cs="Times New Roman"/>
                <w:b/>
                <w:bCs/>
                <w:smallCaps/>
                <w:snapToGrid/>
                <w:color w:val="auto"/>
                <w:sz w:val="30"/>
                <w:szCs w:val="30"/>
                <w:highlight w:val="none"/>
              </w:rPr>
              <w:t>4.1  施工期环境污染防治措施</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jc w:val="left"/>
              <w:textAlignment w:val="auto"/>
              <w:outlineLvl w:val="9"/>
              <w:rPr>
                <w:rFonts w:hint="default" w:ascii="Times New Roman" w:hAnsi="Times New Roman" w:cs="Times New Roman"/>
                <w:color w:val="auto"/>
                <w:szCs w:val="28"/>
                <w:lang w:val="en-US" w:eastAsia="zh-CN"/>
              </w:rPr>
            </w:pPr>
            <w:bookmarkStart w:id="149" w:name="_Toc27881"/>
            <w:bookmarkStart w:id="150" w:name="_Toc25281"/>
            <w:bookmarkStart w:id="151" w:name="_Toc21440"/>
            <w:bookmarkStart w:id="152" w:name="_Toc18293"/>
            <w:bookmarkStart w:id="153" w:name="_Toc8067"/>
            <w:bookmarkStart w:id="154" w:name="_Toc10680"/>
            <w:bookmarkStart w:id="155" w:name="_Toc27633"/>
            <w:bookmarkStart w:id="156" w:name="_Toc25268"/>
            <w:bookmarkStart w:id="157" w:name="_Toc9593"/>
            <w:r>
              <w:rPr>
                <w:rFonts w:hint="default" w:ascii="Times New Roman" w:hAnsi="Times New Roman" w:eastAsia="宋体" w:cs="Times New Roman"/>
                <w:snapToGrid/>
                <w:color w:val="auto"/>
                <w:kern w:val="2"/>
                <w:sz w:val="24"/>
                <w:szCs w:val="24"/>
                <w:lang w:val="en-US" w:eastAsia="zh-CN" w:bidi="ar-SA"/>
              </w:rPr>
              <w:t>施工期主要是地面施工建设，对环境要素的影响主要是场地施工扬尘、车辆尾气、施工作业噪声、施工人员生活污水、施工废水等排放。本项目施工期将对周围环境产生一定的影响，工程施工期相对生产运营期是短时的，通过相关防治措施控制及管理，影响是暂时的。</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4.1.1  施工废气治理措施</w:t>
            </w:r>
            <w:bookmarkEnd w:id="149"/>
            <w:bookmarkEnd w:id="150"/>
            <w:bookmarkEnd w:id="151"/>
            <w:bookmarkEnd w:id="152"/>
            <w:bookmarkEnd w:id="153"/>
            <w:bookmarkEnd w:id="154"/>
            <w:bookmarkEnd w:id="155"/>
            <w:bookmarkEnd w:id="156"/>
            <w:bookmarkEnd w:id="157"/>
          </w:p>
          <w:p>
            <w:pPr>
              <w:pStyle w:val="80"/>
              <w:keepNext w:val="0"/>
              <w:keepLines w:val="0"/>
              <w:pageBreakBefore w:val="0"/>
              <w:widowControl w:val="0"/>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①</w:t>
            </w:r>
            <w:r>
              <w:rPr>
                <w:rFonts w:hint="default" w:ascii="Times New Roman" w:hAnsi="Times New Roman" w:cs="Times New Roman"/>
                <w:color w:val="auto"/>
                <w:sz w:val="24"/>
              </w:rPr>
              <w:t>使用尾气达标排放的工程机械、运输车辆，减少机械和车辆废气造成的环境影响。</w:t>
            </w:r>
            <w:r>
              <w:rPr>
                <w:rFonts w:hint="default" w:ascii="Times New Roman" w:hAnsi="Times New Roman" w:eastAsia="宋体" w:cs="Times New Roman"/>
                <w:snapToGrid w:val="0"/>
                <w:color w:val="auto"/>
                <w:kern w:val="0"/>
                <w:highlight w:val="none"/>
                <w:lang w:val="en-US" w:eastAsia="zh-CN"/>
              </w:rPr>
              <w:t>严格控制车辆超载，运输车辆装载不得超出车厢板高度，并采取遮盖、密闭措施减少沿途抛洒、散落；及时清扫散落在路面上的泥土和建筑材料，定期冲洗轮胎，车辆不得带泥砂出现场。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保持施工场地清洁，加强厂区道路洒水降尘。保持施工场地、进出道路以及施工车辆的清洁，可通过及时清扫道路，对施工车辆及时清洗，严格限制车辆超载，以避免沙土泄漏等有效措施来保持场地路面的清洁，减少施工扬尘；对建筑垃圾及弃土应及时处理、清运、以减少占地，防止扬尘污染，改善施工场地的环境。</w:t>
            </w:r>
          </w:p>
          <w:p>
            <w:pPr>
              <w:pStyle w:val="80"/>
              <w:keepNext w:val="0"/>
              <w:keepLines w:val="0"/>
              <w:pageBreakBefore w:val="0"/>
              <w:widowControl w:val="0"/>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③避免大风天气作业。应避免在大风天气进行水泥、黄沙等的装卸作业，对水泥类物资尽可能不要露天堆放，即使必须露天堆放，也要注意加盖防雨布，减少大风造成的施工扬尘。</w:t>
            </w:r>
          </w:p>
          <w:p>
            <w:pPr>
              <w:pStyle w:val="80"/>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施工期间尾气排放的NO</w:t>
            </w:r>
            <w:r>
              <w:rPr>
                <w:rFonts w:hint="default" w:ascii="Times New Roman" w:hAnsi="Times New Roman" w:eastAsia="宋体" w:cs="Times New Roman"/>
                <w:snapToGrid w:val="0"/>
                <w:color w:val="auto"/>
                <w:kern w:val="0"/>
                <w:highlight w:val="none"/>
                <w:vertAlign w:val="subscript"/>
                <w:lang w:val="en-US" w:eastAsia="zh-CN"/>
              </w:rPr>
              <w:t>X</w:t>
            </w:r>
            <w:r>
              <w:rPr>
                <w:rFonts w:hint="default" w:ascii="Times New Roman" w:hAnsi="Times New Roman" w:eastAsia="宋体" w:cs="Times New Roman"/>
                <w:snapToGrid w:val="0"/>
                <w:color w:val="auto"/>
                <w:kern w:val="0"/>
                <w:highlight w:val="none"/>
                <w:lang w:val="en-US" w:eastAsia="zh-CN"/>
              </w:rPr>
              <w:t>、CO和烃类物质将在短期内存在，影响工程所在地区施工现场及其下风向区域，但由于施工期时间不长，排放量不大，施工期汽车产生的NO</w:t>
            </w:r>
            <w:r>
              <w:rPr>
                <w:rFonts w:hint="default" w:ascii="Times New Roman" w:hAnsi="Times New Roman" w:eastAsia="宋体" w:cs="Times New Roman"/>
                <w:snapToGrid w:val="0"/>
                <w:color w:val="auto"/>
                <w:kern w:val="0"/>
                <w:highlight w:val="none"/>
                <w:vertAlign w:val="subscript"/>
                <w:lang w:val="en-US" w:eastAsia="zh-CN"/>
              </w:rPr>
              <w:t>X</w:t>
            </w:r>
            <w:r>
              <w:rPr>
                <w:rFonts w:hint="default" w:ascii="Times New Roman" w:hAnsi="Times New Roman" w:eastAsia="宋体" w:cs="Times New Roman"/>
                <w:snapToGrid w:val="0"/>
                <w:color w:val="auto"/>
                <w:kern w:val="0"/>
                <w:highlight w:val="none"/>
                <w:lang w:val="en-US" w:eastAsia="zh-CN"/>
              </w:rPr>
              <w:t>、CO和烃类物质对周围环境影响不大。在这期间，尽量做好各方面的维护工作，控制运输车辆的数量。施工期间应该对施工单位加强管理，按进度、有计划地进行文明施工。</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158" w:name="_Toc6569"/>
            <w:bookmarkStart w:id="159" w:name="_Toc10561"/>
            <w:bookmarkStart w:id="160" w:name="_Toc9735"/>
            <w:bookmarkStart w:id="161" w:name="_Toc20125"/>
            <w:bookmarkStart w:id="162" w:name="_Toc22796"/>
            <w:bookmarkStart w:id="163" w:name="_Toc10216"/>
            <w:bookmarkStart w:id="164" w:name="_Toc13770"/>
            <w:bookmarkStart w:id="165" w:name="_Toc21975"/>
            <w:bookmarkStart w:id="166" w:name="_Toc23564"/>
            <w:r>
              <w:rPr>
                <w:rFonts w:hint="default" w:ascii="Times New Roman" w:hAnsi="Times New Roman" w:eastAsia="宋体" w:cs="Times New Roman"/>
                <w:b/>
                <w:bCs/>
                <w:color w:val="auto"/>
                <w:highlight w:val="none"/>
                <w:lang w:val="en-US" w:eastAsia="zh-CN"/>
              </w:rPr>
              <w:t>4.1.2  施工废水治理措施</w:t>
            </w:r>
            <w:bookmarkEnd w:id="158"/>
            <w:bookmarkEnd w:id="159"/>
            <w:bookmarkEnd w:id="160"/>
            <w:bookmarkEnd w:id="161"/>
            <w:bookmarkEnd w:id="162"/>
            <w:bookmarkEnd w:id="163"/>
            <w:bookmarkEnd w:id="164"/>
            <w:bookmarkEnd w:id="165"/>
            <w:bookmarkEnd w:id="166"/>
          </w:p>
          <w:p>
            <w:pPr>
              <w:pStyle w:val="80"/>
              <w:jc w:val="both"/>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cs="Times New Roman"/>
                <w:color w:val="auto"/>
                <w:sz w:val="24"/>
              </w:rPr>
              <w:t>施工人员生活设施依托</w:t>
            </w:r>
            <w:r>
              <w:rPr>
                <w:rFonts w:hint="eastAsia" w:cs="Times New Roman"/>
                <w:color w:val="auto"/>
                <w:sz w:val="24"/>
                <w:lang w:val="en-US" w:eastAsia="zh-CN"/>
              </w:rPr>
              <w:t>厂区</w:t>
            </w:r>
            <w:r>
              <w:rPr>
                <w:rFonts w:hint="default" w:ascii="Times New Roman" w:hAnsi="Times New Roman" w:cs="Times New Roman"/>
                <w:color w:val="auto"/>
                <w:sz w:val="24"/>
              </w:rPr>
              <w:t>的现有生活设施。少量生活污水及餐饮污水</w:t>
            </w:r>
            <w:r>
              <w:rPr>
                <w:rFonts w:hint="default" w:ascii="Times New Roman" w:hAnsi="Times New Roman" w:cs="Times New Roman"/>
                <w:color w:val="auto"/>
                <w:sz w:val="24"/>
                <w:lang w:val="en-US" w:eastAsia="zh-CN"/>
              </w:rPr>
              <w:t>依托原有生活污水处理设施</w:t>
            </w:r>
            <w:r>
              <w:rPr>
                <w:rFonts w:hint="default" w:ascii="Times New Roman" w:hAnsi="Times New Roman" w:cs="Times New Roman"/>
                <w:color w:val="auto"/>
                <w:sz w:val="24"/>
              </w:rPr>
              <w:t>处理。</w:t>
            </w:r>
            <w:r>
              <w:rPr>
                <w:rFonts w:hint="eastAsia" w:ascii="Times New Roman" w:hAnsi="Times New Roman" w:cs="Times New Roman"/>
                <w:color w:val="auto"/>
                <w:sz w:val="24"/>
                <w:lang w:val="en-US" w:eastAsia="zh-CN"/>
              </w:rPr>
              <w:t>施工</w:t>
            </w:r>
            <w:r>
              <w:rPr>
                <w:rFonts w:hint="default" w:ascii="Times New Roman" w:hAnsi="Times New Roman" w:eastAsia="宋体" w:cs="Times New Roman"/>
                <w:snapToGrid w:val="0"/>
                <w:color w:val="auto"/>
                <w:kern w:val="0"/>
                <w:highlight w:val="none"/>
                <w:lang w:val="en-US" w:eastAsia="zh-CN"/>
              </w:rPr>
              <w:t>废水主要来自汽车机械设备冲洗含油废水以及施工营地泥浆水、水泥混凝土浇筑养护用水等。但浇筑养护用水大多被吸收或蒸发，故其废水排放污染可忽略不计。</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167" w:name="_Toc6561"/>
            <w:bookmarkStart w:id="168" w:name="_Toc10073"/>
            <w:bookmarkStart w:id="169" w:name="_Toc31404"/>
            <w:bookmarkStart w:id="170" w:name="_Toc14217"/>
            <w:bookmarkStart w:id="171" w:name="_Toc11272"/>
            <w:bookmarkStart w:id="172" w:name="_Toc3116"/>
            <w:bookmarkStart w:id="173" w:name="_Toc4736"/>
            <w:bookmarkStart w:id="174" w:name="_Toc15079"/>
            <w:bookmarkStart w:id="175" w:name="_Toc3080"/>
            <w:r>
              <w:rPr>
                <w:rFonts w:hint="default" w:ascii="Times New Roman" w:hAnsi="Times New Roman" w:eastAsia="宋体" w:cs="Times New Roman"/>
                <w:b/>
                <w:bCs/>
                <w:color w:val="auto"/>
                <w:highlight w:val="none"/>
                <w:lang w:val="en-US" w:eastAsia="zh-CN"/>
              </w:rPr>
              <w:t>4.1.3  施工噪声防治措施</w:t>
            </w:r>
            <w:bookmarkEnd w:id="167"/>
            <w:bookmarkEnd w:id="168"/>
            <w:bookmarkEnd w:id="169"/>
            <w:bookmarkEnd w:id="170"/>
            <w:bookmarkEnd w:id="171"/>
            <w:bookmarkEnd w:id="172"/>
            <w:bookmarkEnd w:id="173"/>
            <w:bookmarkEnd w:id="174"/>
            <w:bookmarkEnd w:id="175"/>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①加强</w:t>
            </w:r>
            <w:r>
              <w:rPr>
                <w:rFonts w:hint="default" w:ascii="Times New Roman" w:hAnsi="Times New Roman" w:eastAsia="宋体" w:cs="Times New Roman"/>
                <w:color w:val="auto"/>
                <w:sz w:val="24"/>
              </w:rPr>
              <w:t>施工管理，合理安排施工作业时间，严格按照施工噪声管理的有关规定执行，未经环保部门允许严禁夜间进行高噪声施工作业；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尽量采用低噪声的工程机械、施工设备，同时尽可能采用施工噪声低的施工工艺；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采取上述措施后可以消减施工期噪声的环境影响。</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176" w:name="_Toc29843"/>
            <w:bookmarkStart w:id="177" w:name="_Toc27702"/>
            <w:bookmarkStart w:id="178" w:name="_Toc5305"/>
            <w:bookmarkStart w:id="179" w:name="_Toc2355"/>
            <w:bookmarkStart w:id="180" w:name="_Toc9856"/>
            <w:bookmarkStart w:id="181" w:name="_Toc15225"/>
            <w:bookmarkStart w:id="182" w:name="_Toc8773"/>
            <w:bookmarkStart w:id="183" w:name="_Toc10445"/>
            <w:bookmarkStart w:id="184" w:name="_Toc7879"/>
            <w:r>
              <w:rPr>
                <w:rFonts w:hint="default" w:ascii="Times New Roman" w:hAnsi="Times New Roman" w:eastAsia="宋体" w:cs="Times New Roman"/>
                <w:b/>
                <w:bCs/>
                <w:color w:val="auto"/>
                <w:highlight w:val="none"/>
                <w:lang w:val="en-US" w:eastAsia="zh-CN"/>
              </w:rPr>
              <w:t>4.1.4  施工固废处置措施</w:t>
            </w:r>
            <w:bookmarkEnd w:id="176"/>
            <w:bookmarkEnd w:id="177"/>
            <w:bookmarkEnd w:id="178"/>
            <w:bookmarkEnd w:id="179"/>
            <w:bookmarkEnd w:id="180"/>
            <w:bookmarkEnd w:id="181"/>
            <w:bookmarkEnd w:id="182"/>
            <w:bookmarkEnd w:id="183"/>
            <w:bookmarkEnd w:id="184"/>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建筑垃圾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建筑施工过程产生的废钢铁、废木料可外售，其余废砖头、废砂土、废瓷（片），可运到垃圾场妥善处置。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②生活</w:t>
            </w:r>
            <w:r>
              <w:rPr>
                <w:rFonts w:hint="default" w:ascii="Times New Roman" w:hAnsi="Times New Roman" w:eastAsia="宋体" w:cs="Times New Roman"/>
                <w:color w:val="auto"/>
                <w:sz w:val="24"/>
              </w:rPr>
              <w:t>垃圾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生活垃圾收集依托现有垃圾收集设施。每天及时对生活垃圾清理。</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bookmarkStart w:id="185" w:name="_Toc402295261"/>
            <w:bookmarkStart w:id="186" w:name="_Toc399837723"/>
            <w:bookmarkStart w:id="187" w:name="_Toc24961"/>
            <w:r>
              <w:rPr>
                <w:rFonts w:hint="default" w:ascii="Times New Roman" w:hAnsi="Times New Roman" w:eastAsia="宋体" w:cs="Times New Roman"/>
                <w:b/>
                <w:bCs/>
                <w:color w:val="auto"/>
                <w:sz w:val="24"/>
                <w:szCs w:val="24"/>
                <w:lang w:val="en-US" w:eastAsia="zh-CN"/>
              </w:rPr>
              <w:t>表4.1-1  施工期环境管理及主要监督内容一览表</w:t>
            </w:r>
            <w:bookmarkEnd w:id="185"/>
            <w:bookmarkEnd w:id="186"/>
            <w:bookmarkEnd w:id="187"/>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1"/>
              <w:gridCol w:w="5227"/>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防治对象</w:t>
                  </w:r>
                </w:p>
              </w:tc>
              <w:tc>
                <w:tcPr>
                  <w:tcW w:w="5232" w:type="dxa"/>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防治措施</w:t>
                  </w:r>
                </w:p>
              </w:tc>
              <w:tc>
                <w:tcPr>
                  <w:tcW w:w="2275" w:type="dxa"/>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vMerge w:val="restart"/>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施工废气</w:t>
                  </w:r>
                </w:p>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防治措施</w:t>
                  </w: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使用尾气达标的工程机械和运输车辆</w:t>
                  </w:r>
                </w:p>
              </w:tc>
              <w:tc>
                <w:tcPr>
                  <w:tcW w:w="2275" w:type="dxa"/>
                  <w:vMerge w:val="restart"/>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vMerge w:val="continue"/>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加强厂区道路洒水降尘</w:t>
                  </w:r>
                </w:p>
              </w:tc>
              <w:tc>
                <w:tcPr>
                  <w:tcW w:w="2275" w:type="dxa"/>
                  <w:vMerge w:val="continue"/>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vMerge w:val="continue"/>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避免大风天气作业</w:t>
                  </w:r>
                </w:p>
              </w:tc>
              <w:tc>
                <w:tcPr>
                  <w:tcW w:w="2275" w:type="dxa"/>
                  <w:vMerge w:val="continue"/>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972" w:type="dxa"/>
                  <w:vMerge w:val="restart"/>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施工噪声</w:t>
                  </w:r>
                </w:p>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防治措施</w:t>
                  </w: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使用低噪声的工程机械、施工设备和施工工艺</w:t>
                  </w:r>
                </w:p>
              </w:tc>
              <w:tc>
                <w:tcPr>
                  <w:tcW w:w="2275" w:type="dxa"/>
                  <w:vMerge w:val="restart"/>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厂界噪声符合《建筑施工场界环境噪声排放标准》（GB12523-2011）（昼间≤70dB，夜间≤55dB）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vMerge w:val="continue"/>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禁止在12：00～14：00、22：00～6：00进行高噪声作业</w:t>
                  </w:r>
                </w:p>
              </w:tc>
              <w:tc>
                <w:tcPr>
                  <w:tcW w:w="2275" w:type="dxa"/>
                  <w:vMerge w:val="continue"/>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w:t>
                  </w:r>
                </w:p>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防治措施</w:t>
                  </w: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施工人员生活污水收集后经化粪池处理，再进入</w:t>
                  </w:r>
                  <w:r>
                    <w:rPr>
                      <w:rFonts w:hint="default" w:ascii="Times New Roman" w:hAnsi="Times New Roman" w:cs="Times New Roman"/>
                      <w:color w:val="auto"/>
                      <w:sz w:val="21"/>
                      <w:szCs w:val="21"/>
                      <w:lang w:val="en-US" w:eastAsia="zh-CN"/>
                    </w:rPr>
                    <w:t>湾坞西污水处理厂</w:t>
                  </w:r>
                  <w:r>
                    <w:rPr>
                      <w:rFonts w:hint="default" w:ascii="Times New Roman" w:hAnsi="Times New Roman" w:cs="Times New Roman"/>
                      <w:color w:val="auto"/>
                      <w:sz w:val="21"/>
                      <w:szCs w:val="21"/>
                    </w:rPr>
                    <w:t>进一步处理。</w:t>
                  </w:r>
                </w:p>
              </w:tc>
              <w:tc>
                <w:tcPr>
                  <w:tcW w:w="2275" w:type="dxa"/>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vMerge w:val="restart"/>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建筑垃圾</w:t>
                  </w:r>
                </w:p>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处置措施</w:t>
                  </w: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一般固废：废钢铁、废木料可外售，其余废砖头、废砂土可运到垃圾场妥善处置。</w:t>
                  </w:r>
                </w:p>
              </w:tc>
              <w:tc>
                <w:tcPr>
                  <w:tcW w:w="2275" w:type="dxa"/>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2" w:type="dxa"/>
                  <w:vMerge w:val="continue"/>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5232" w:type="dxa"/>
                  <w:noWrap w:val="0"/>
                  <w:vAlign w:val="center"/>
                </w:tcPr>
                <w:p>
                  <w:pPr>
                    <w:adjustRightInd w:val="0"/>
                    <w:spacing w:line="300" w:lineRule="exact"/>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生活垃圾：收集依托现有垃圾收集设施。每天及时对生活垃圾清理。</w:t>
                  </w:r>
                </w:p>
              </w:tc>
              <w:tc>
                <w:tcPr>
                  <w:tcW w:w="2275" w:type="dxa"/>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r>
          </w:tbl>
          <w:p>
            <w:pPr>
              <w:adjustRightInd w:val="0"/>
              <w:snapToGrid w:val="0"/>
              <w:rPr>
                <w:rFonts w:hint="default" w:ascii="Times New Roman" w:hAnsi="Times New Roman" w:cs="Times New Roman"/>
                <w:bCs/>
                <w:color w:val="0000FF"/>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76" w:type="pct"/>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pPr>
              <w:adjustRightInd w:val="0"/>
              <w:snapToGrid w:val="0"/>
              <w:jc w:val="center"/>
              <w:rPr>
                <w:rFonts w:hint="default" w:ascii="Times New Roman" w:hAnsi="Times New Roman" w:cs="Times New Roman"/>
                <w:bCs/>
                <w:color w:val="0000FF"/>
                <w:szCs w:val="21"/>
              </w:rPr>
            </w:pPr>
            <w:r>
              <w:rPr>
                <w:rFonts w:hint="default" w:ascii="Times New Roman" w:hAnsi="Times New Roman" w:cs="Times New Roman"/>
                <w:bCs/>
                <w:color w:val="auto"/>
                <w:sz w:val="24"/>
                <w:szCs w:val="24"/>
              </w:rPr>
              <w:t>措施</w:t>
            </w:r>
          </w:p>
        </w:tc>
        <w:tc>
          <w:tcPr>
            <w:tcW w:w="4723" w:type="pct"/>
            <w:noWrap w:val="0"/>
            <w:vAlign w:val="center"/>
          </w:tcPr>
          <w:p>
            <w:pPr>
              <w:pStyle w:val="4"/>
              <w:keepNext/>
              <w:keepLines/>
              <w:pageBreakBefore w:val="0"/>
              <w:widowControl w:val="0"/>
              <w:numPr>
                <w:ilvl w:val="0"/>
                <w:numId w:val="0"/>
              </w:numPr>
              <w:tabs>
                <w:tab w:val="left" w:pos="900"/>
              </w:tabs>
              <w:kinsoku/>
              <w:wordWrap/>
              <w:overflowPunct/>
              <w:topLinePunct w:val="0"/>
              <w:autoSpaceDE/>
              <w:autoSpaceDN/>
              <w:bidi w:val="0"/>
              <w:adjustRightInd w:val="0"/>
              <w:snapToGrid w:val="0"/>
              <w:spacing w:before="219" w:beforeLines="70" w:after="219" w:afterLines="70" w:line="240" w:lineRule="auto"/>
              <w:jc w:val="left"/>
              <w:textAlignment w:val="auto"/>
              <w:rPr>
                <w:rFonts w:hint="default" w:ascii="Times New Roman" w:hAnsi="Times New Roman" w:eastAsia="宋体" w:cs="Times New Roman"/>
                <w:b/>
                <w:bCs/>
                <w:smallCaps/>
                <w:snapToGrid/>
                <w:color w:val="auto"/>
                <w:sz w:val="30"/>
                <w:szCs w:val="30"/>
                <w:highlight w:val="none"/>
              </w:rPr>
            </w:pPr>
            <w:bookmarkStart w:id="188" w:name="_Toc31392"/>
            <w:bookmarkStart w:id="189" w:name="_Toc20326"/>
            <w:bookmarkStart w:id="190" w:name="_Toc14034"/>
            <w:bookmarkStart w:id="191" w:name="_Toc23645"/>
            <w:bookmarkStart w:id="192" w:name="_Toc31874"/>
            <w:bookmarkStart w:id="193" w:name="_Toc20316"/>
            <w:bookmarkStart w:id="194" w:name="_Toc13820"/>
            <w:bookmarkStart w:id="195" w:name="_Toc22439"/>
            <w:bookmarkStart w:id="196" w:name="_Toc12187"/>
            <w:bookmarkStart w:id="197" w:name="_Toc12180"/>
            <w:r>
              <w:rPr>
                <w:rFonts w:hint="default" w:ascii="Times New Roman" w:hAnsi="Times New Roman" w:eastAsia="宋体" w:cs="Times New Roman"/>
                <w:b/>
                <w:bCs/>
                <w:smallCaps/>
                <w:snapToGrid/>
                <w:color w:val="auto"/>
                <w:sz w:val="30"/>
                <w:szCs w:val="30"/>
                <w:highlight w:val="none"/>
              </w:rPr>
              <w:t>4.2  运营期环境影响</w:t>
            </w:r>
            <w:bookmarkEnd w:id="188"/>
            <w:bookmarkEnd w:id="189"/>
            <w:bookmarkEnd w:id="190"/>
            <w:bookmarkEnd w:id="191"/>
            <w:bookmarkEnd w:id="192"/>
            <w:bookmarkEnd w:id="193"/>
            <w:r>
              <w:rPr>
                <w:rFonts w:hint="default" w:ascii="Times New Roman" w:hAnsi="Times New Roman" w:eastAsia="宋体" w:cs="Times New Roman"/>
                <w:b/>
                <w:bCs/>
                <w:smallCaps/>
                <w:snapToGrid/>
                <w:color w:val="auto"/>
                <w:sz w:val="30"/>
                <w:szCs w:val="30"/>
                <w:highlight w:val="none"/>
              </w:rPr>
              <w:t>和保护措施</w:t>
            </w:r>
            <w:bookmarkEnd w:id="194"/>
            <w:bookmarkEnd w:id="195"/>
            <w:bookmarkEnd w:id="196"/>
            <w:bookmarkEnd w:id="197"/>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198" w:name="_Toc3490"/>
            <w:bookmarkStart w:id="199" w:name="_Toc16219"/>
            <w:bookmarkStart w:id="200" w:name="_Toc30120"/>
            <w:bookmarkStart w:id="201" w:name="_Toc13860"/>
            <w:bookmarkStart w:id="202" w:name="_Toc29348"/>
            <w:bookmarkStart w:id="203" w:name="_Toc12647"/>
            <w:bookmarkStart w:id="204" w:name="_Toc25790"/>
            <w:bookmarkStart w:id="205" w:name="_Toc31764"/>
            <w:r>
              <w:rPr>
                <w:rFonts w:hint="default" w:ascii="Times New Roman" w:hAnsi="Times New Roman" w:eastAsia="宋体" w:cs="Times New Roman"/>
                <w:b/>
                <w:bCs/>
                <w:color w:val="auto"/>
                <w:highlight w:val="none"/>
                <w:lang w:val="en-US" w:eastAsia="zh-CN"/>
              </w:rPr>
              <w:t>4.2.1  大气</w:t>
            </w:r>
            <w:bookmarkEnd w:id="198"/>
            <w:bookmarkEnd w:id="199"/>
          </w:p>
          <w:p>
            <w:pPr>
              <w:pStyle w:val="6"/>
              <w:keepNext/>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4.2.1.1  污染源强核算</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（1）有组织废气</w:t>
            </w:r>
          </w:p>
          <w:p>
            <w:pPr>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80" w:firstLineChars="200"/>
              <w:textAlignment w:val="auto"/>
              <w:rPr>
                <w:rFonts w:hint="eastAsia" w:ascii="Times New Roman" w:hAnsi="Times New Roman" w:cs="Times New Roman"/>
                <w:color w:val="auto"/>
                <w:sz w:val="24"/>
                <w:lang w:val="en-US" w:eastAsia="zh-CN"/>
              </w:rPr>
            </w:pPr>
            <w:r>
              <w:rPr>
                <w:rFonts w:hint="eastAsia" w:cs="Times New Roman"/>
                <w:color w:val="auto"/>
                <w:sz w:val="24"/>
                <w:highlight w:val="none"/>
                <w:lang w:val="en-US" w:eastAsia="zh-CN"/>
              </w:rPr>
              <w:t>本项目有组织</w:t>
            </w:r>
            <w:r>
              <w:rPr>
                <w:rFonts w:hint="default" w:ascii="Times New Roman" w:hAnsi="Times New Roman" w:cs="Times New Roman"/>
                <w:color w:val="auto"/>
                <w:sz w:val="24"/>
                <w:highlight w:val="none"/>
              </w:rPr>
              <w:t>废气主要</w:t>
            </w:r>
            <w:r>
              <w:rPr>
                <w:rFonts w:hint="eastAsia" w:cs="Times New Roman"/>
                <w:color w:val="auto"/>
                <w:sz w:val="24"/>
                <w:highlight w:val="none"/>
                <w:lang w:val="en-US" w:eastAsia="zh-CN"/>
              </w:rPr>
              <w:t>是在破碎、筛分、搅拌和皮带传送过程中产生的颗粒物</w:t>
            </w:r>
            <w:r>
              <w:rPr>
                <w:rFonts w:hint="eastAsia" w:ascii="Times New Roman" w:hAnsi="Times New Roman" w:cs="Times New Roman"/>
                <w:color w:val="auto"/>
                <w:sz w:val="24"/>
                <w:highlight w:val="none"/>
                <w:lang w:eastAsia="zh-CN"/>
              </w:rPr>
              <w:t>，</w:t>
            </w:r>
            <w:r>
              <w:rPr>
                <w:rFonts w:hint="eastAsia" w:cs="Times New Roman"/>
                <w:color w:val="auto"/>
                <w:sz w:val="24"/>
                <w:highlight w:val="none"/>
                <w:lang w:val="en-US" w:eastAsia="zh-CN"/>
              </w:rPr>
              <w:t>废气</w:t>
            </w:r>
            <w:r>
              <w:rPr>
                <w:rFonts w:hint="eastAsia" w:ascii="Times New Roman" w:hAnsi="Times New Roman" w:cs="Times New Roman"/>
                <w:color w:val="auto"/>
                <w:sz w:val="24"/>
                <w:lang w:val="en-US" w:eastAsia="zh-CN"/>
              </w:rPr>
              <w:t>通过分别集气后经布袋除尘器处理，处理后由一根</w:t>
            </w:r>
            <w:r>
              <w:rPr>
                <w:rFonts w:hint="default" w:ascii="Times New Roman" w:hAnsi="Times New Roman" w:cs="Times New Roman"/>
                <w:color w:val="auto"/>
                <w:sz w:val="24"/>
                <w:szCs w:val="24"/>
                <w:highlight w:val="none"/>
                <w:lang w:val="en-US" w:eastAsia="zh-CN"/>
              </w:rPr>
              <w:t>15m排气筒（</w:t>
            </w:r>
            <w:r>
              <w:rPr>
                <w:rFonts w:hint="default" w:ascii="Times New Roman" w:hAnsi="Times New Roman" w:eastAsia="宋体" w:cs="Times New Roman"/>
                <w:color w:val="auto"/>
                <w:sz w:val="24"/>
                <w:szCs w:val="24"/>
                <w:highlight w:val="none"/>
                <w:lang w:val="en-US" w:eastAsia="zh-CN"/>
              </w:rPr>
              <w:t>DA0</w:t>
            </w:r>
            <w:r>
              <w:rPr>
                <w:rFonts w:hint="eastAsia" w:cs="Times New Roman"/>
                <w:color w:val="auto"/>
                <w:sz w:val="24"/>
                <w:szCs w:val="24"/>
                <w:highlight w:val="none"/>
                <w:lang w:val="en-US" w:eastAsia="zh-CN"/>
              </w:rPr>
              <w:t>03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排放</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lang w:val="en-US" w:eastAsia="zh-CN"/>
              </w:rPr>
              <w:t>主要污染物为颗粒物。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lang w:val="en-US" w:eastAsia="zh-CN"/>
              </w:rPr>
              <w:t>根据《第</w:t>
            </w:r>
            <w:r>
              <w:rPr>
                <w:rFonts w:hint="eastAsia" w:cs="Times New Roman"/>
                <w:color w:val="auto"/>
                <w:sz w:val="24"/>
                <w:lang w:val="en-US" w:eastAsia="zh-CN"/>
              </w:rPr>
              <w:t>二</w:t>
            </w:r>
            <w:r>
              <w:rPr>
                <w:rFonts w:hint="eastAsia" w:ascii="Times New Roman" w:hAnsi="Times New Roman" w:cs="Times New Roman"/>
                <w:color w:val="auto"/>
                <w:sz w:val="24"/>
                <w:lang w:val="en-US" w:eastAsia="zh-CN"/>
              </w:rPr>
              <w:t>次全国污染源普查工业污染源产排污系数手册》，破碎筛分工序产生的颗粒物系数为660g/t-产品，</w:t>
            </w:r>
            <w:r>
              <w:rPr>
                <w:rFonts w:hint="default" w:ascii="Times New Roman" w:hAnsi="Times New Roman" w:eastAsia="宋体" w:cs="Times New Roman"/>
                <w:snapToGrid/>
                <w:color w:val="auto"/>
                <w:kern w:val="2"/>
                <w:sz w:val="24"/>
                <w:szCs w:val="24"/>
                <w:highlight w:val="none"/>
                <w:lang w:val="en-US" w:eastAsia="zh-CN" w:bidi="ar-SA"/>
              </w:rPr>
              <w:t>搅拌工序产生的粉尘系数为5.92kg/t-产品，同时在搅拌过程中洒水降尘，洒水抑尘可降低粉尘量85%</w:t>
            </w:r>
            <w:r>
              <w:rPr>
                <w:rFonts w:hint="eastAsia" w:ascii="Times New Roman" w:hAnsi="Times New Roman" w:eastAsia="宋体" w:cs="Times New Roman"/>
                <w:snapToGrid/>
                <w:color w:val="auto"/>
                <w:kern w:val="2"/>
                <w:sz w:val="24"/>
                <w:szCs w:val="24"/>
                <w:highlight w:val="none"/>
                <w:lang w:val="en-US" w:eastAsia="zh-CN" w:bidi="ar-SA"/>
              </w:rPr>
              <w:t>；</w:t>
            </w:r>
            <w:r>
              <w:rPr>
                <w:rFonts w:hint="default" w:ascii="Times New Roman" w:hAnsi="Times New Roman" w:eastAsia="宋体" w:cs="Times New Roman"/>
                <w:color w:val="auto"/>
                <w:sz w:val="24"/>
                <w:highlight w:val="none"/>
                <w:lang w:val="en-US" w:eastAsia="zh-CN"/>
              </w:rPr>
              <w:t>采用密闭皮带输送机输送方式（进出料口均为密闭状态，产生粉尘均通过传送带密闭收集），有效降低投料、出料过程产生的粉尘对环境的影响</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皮带输送产生的粉尘量按照产品产量的0.0005%计算</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highlight w:val="none"/>
                <w:lang w:val="en-US" w:eastAsia="zh-CN"/>
              </w:rPr>
              <w:t>根据以上产污系数</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废气量</w:t>
            </w:r>
            <w:r>
              <w:rPr>
                <w:rFonts w:hint="eastAsia" w:ascii="Times New Roman" w:hAnsi="Times New Roman" w:cs="Times New Roman"/>
                <w:color w:val="auto"/>
                <w:kern w:val="0"/>
                <w:sz w:val="24"/>
                <w:szCs w:val="24"/>
                <w:highlight w:val="none"/>
                <w:lang w:val="en-US" w:eastAsia="zh-CN" w:bidi="ar"/>
              </w:rPr>
              <w:t>8</w:t>
            </w:r>
            <w:r>
              <w:rPr>
                <w:rFonts w:hint="eastAsia" w:cs="Times New Roman"/>
                <w:color w:val="auto"/>
                <w:kern w:val="0"/>
                <w:sz w:val="24"/>
                <w:szCs w:val="24"/>
                <w:highlight w:val="none"/>
                <w:lang w:val="en-US" w:eastAsia="zh-CN" w:bidi="ar"/>
              </w:rPr>
              <w:t>115</w:t>
            </w:r>
            <w:r>
              <w:rPr>
                <w:rFonts w:hint="eastAsia"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spacing w:val="-20"/>
                <w:kern w:val="0"/>
                <w:sz w:val="24"/>
                <w:szCs w:val="24"/>
                <w:highlight w:val="none"/>
                <w:lang w:val="en-US" w:eastAsia="zh-CN" w:bidi="ar"/>
              </w:rPr>
              <w:t>万Nm</w:t>
            </w:r>
            <w:r>
              <w:rPr>
                <w:rFonts w:hint="default" w:ascii="Times New Roman" w:hAnsi="Times New Roman" w:eastAsia="宋体" w:cs="Times New Roman"/>
                <w:color w:val="auto"/>
                <w:spacing w:val="-20"/>
                <w:kern w:val="0"/>
                <w:sz w:val="24"/>
                <w:szCs w:val="24"/>
                <w:highlight w:val="none"/>
                <w:vertAlign w:val="superscript"/>
                <w:lang w:val="en-US" w:eastAsia="zh-CN" w:bidi="ar"/>
              </w:rPr>
              <w:t>3</w:t>
            </w:r>
            <w:r>
              <w:rPr>
                <w:rFonts w:hint="default" w:ascii="Times New Roman" w:hAnsi="Times New Roman" w:eastAsia="宋体" w:cs="Times New Roman"/>
                <w:color w:val="auto"/>
                <w:spacing w:val="-20"/>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11</w:t>
            </w:r>
            <w:r>
              <w:rPr>
                <w:rFonts w:hint="eastAsia" w:cs="Times New Roman"/>
                <w:color w:val="auto"/>
                <w:kern w:val="0"/>
                <w:sz w:val="24"/>
                <w:szCs w:val="24"/>
                <w:highlight w:val="none"/>
                <w:lang w:val="en-US" w:eastAsia="zh-CN" w:bidi="ar"/>
              </w:rPr>
              <w:t>.27万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spacing w:val="-2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颗粒物</w:t>
            </w:r>
            <w:r>
              <w:rPr>
                <w:rFonts w:hint="default" w:ascii="Times New Roman" w:hAnsi="Times New Roman" w:eastAsia="宋体" w:cs="Times New Roman"/>
                <w:color w:val="auto"/>
                <w:spacing w:val="0"/>
                <w:kern w:val="0"/>
                <w:sz w:val="24"/>
                <w:szCs w:val="24"/>
                <w:highlight w:val="none"/>
                <w:lang w:val="en-US" w:eastAsia="zh-CN" w:bidi="ar"/>
              </w:rPr>
              <w:t>产生浓度</w:t>
            </w:r>
            <w:r>
              <w:rPr>
                <w:rFonts w:hint="eastAsia" w:ascii="Times New Roman" w:hAnsi="Times New Roman" w:cs="Times New Roman"/>
                <w:color w:val="auto"/>
                <w:kern w:val="0"/>
                <w:sz w:val="24"/>
                <w:szCs w:val="24"/>
                <w:highlight w:val="none"/>
                <w:lang w:val="en-US" w:eastAsia="zh-CN" w:bidi="ar"/>
              </w:rPr>
              <w:t>1220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vertAlign w:val="baseline"/>
                <w:lang w:val="en-US" w:eastAsia="zh-CN" w:bidi="ar"/>
              </w:rPr>
              <w:t>，本项目保守计算</w:t>
            </w:r>
            <w:r>
              <w:rPr>
                <w:rFonts w:hint="default" w:ascii="Times New Roman" w:hAnsi="Times New Roman" w:eastAsia="宋体" w:cs="Times New Roman"/>
                <w:color w:val="auto"/>
                <w:kern w:val="0"/>
                <w:sz w:val="24"/>
                <w:szCs w:val="24"/>
                <w:highlight w:val="none"/>
                <w:lang w:val="en-US" w:eastAsia="zh-CN" w:bidi="ar"/>
              </w:rPr>
              <w:t>废气量</w:t>
            </w:r>
            <w:r>
              <w:rPr>
                <w:rFonts w:hint="eastAsia" w:cs="Times New Roman"/>
                <w:color w:val="auto"/>
                <w:kern w:val="0"/>
                <w:sz w:val="24"/>
                <w:szCs w:val="24"/>
                <w:highlight w:val="none"/>
                <w:lang w:val="en-US" w:eastAsia="zh-CN" w:bidi="ar"/>
              </w:rPr>
              <w:t>150000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spacing w:val="-20"/>
                <w:kern w:val="0"/>
                <w:sz w:val="24"/>
                <w:szCs w:val="24"/>
                <w:highlight w:val="none"/>
                <w:lang w:val="en-US" w:eastAsia="zh-CN" w:bidi="ar"/>
              </w:rPr>
              <w:t>，</w:t>
            </w:r>
            <w:r>
              <w:rPr>
                <w:rFonts w:hint="eastAsia" w:cs="Times New Roman"/>
                <w:color w:val="auto"/>
                <w:spacing w:val="0"/>
                <w:kern w:val="0"/>
                <w:sz w:val="24"/>
                <w:szCs w:val="24"/>
                <w:highlight w:val="none"/>
                <w:lang w:val="en-US" w:eastAsia="zh-CN" w:bidi="ar"/>
              </w:rPr>
              <w:t>颗粒物</w:t>
            </w:r>
            <w:r>
              <w:rPr>
                <w:rFonts w:hint="default" w:ascii="Times New Roman" w:hAnsi="Times New Roman" w:eastAsia="宋体" w:cs="Times New Roman"/>
                <w:color w:val="auto"/>
                <w:kern w:val="0"/>
                <w:sz w:val="24"/>
                <w:szCs w:val="24"/>
                <w:highlight w:val="none"/>
                <w:lang w:val="en-US" w:eastAsia="zh-CN" w:bidi="ar"/>
              </w:rPr>
              <w:t>产生浓度</w:t>
            </w:r>
            <w:r>
              <w:rPr>
                <w:rFonts w:hint="eastAsia" w:cs="Times New Roman"/>
                <w:color w:val="auto"/>
                <w:kern w:val="0"/>
                <w:sz w:val="24"/>
                <w:szCs w:val="24"/>
                <w:highlight w:val="none"/>
                <w:lang w:val="en-US" w:eastAsia="zh-CN" w:bidi="ar"/>
              </w:rPr>
              <w:t>200</w:t>
            </w:r>
            <w:r>
              <w:rPr>
                <w:rFonts w:hint="eastAsia"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。本项目</w:t>
            </w:r>
            <w:r>
              <w:rPr>
                <w:rFonts w:hint="eastAsia" w:cs="Times New Roman"/>
                <w:color w:val="auto"/>
                <w:sz w:val="24"/>
                <w:highlight w:val="none"/>
                <w:lang w:val="en-US" w:eastAsia="zh-CN"/>
              </w:rPr>
              <w:t>破碎、筛分、搅拌和皮带传送废气经各自</w:t>
            </w:r>
            <w:r>
              <w:rPr>
                <w:rFonts w:hint="eastAsia" w:cs="Times New Roman"/>
                <w:color w:val="auto"/>
                <w:kern w:val="0"/>
                <w:sz w:val="24"/>
                <w:szCs w:val="24"/>
                <w:highlight w:val="none"/>
                <w:shd w:val="clear"/>
                <w:lang w:val="en-US" w:eastAsia="zh-CN" w:bidi="ar"/>
              </w:rPr>
              <w:t>集气后</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集气</w:t>
            </w:r>
            <w:r>
              <w:rPr>
                <w:rFonts w:hint="default" w:ascii="Times New Roman" w:hAnsi="Times New Roman" w:eastAsia="宋体" w:cs="Times New Roman"/>
                <w:color w:val="auto"/>
                <w:kern w:val="0"/>
                <w:sz w:val="24"/>
                <w:szCs w:val="24"/>
                <w:lang w:val="en-US" w:eastAsia="zh-CN" w:bidi="ar"/>
              </w:rPr>
              <w:t>效率按照</w:t>
            </w:r>
            <w:r>
              <w:rPr>
                <w:rFonts w:hint="eastAsia" w:ascii="Times New Roman" w:hAnsi="Times New Roman" w:eastAsia="宋体"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%计算），</w:t>
            </w:r>
            <w:r>
              <w:rPr>
                <w:rFonts w:hint="eastAsia" w:cs="Times New Roman"/>
                <w:color w:val="auto"/>
                <w:kern w:val="0"/>
                <w:sz w:val="24"/>
                <w:szCs w:val="24"/>
                <w:lang w:val="en-US" w:eastAsia="zh-CN" w:bidi="ar"/>
              </w:rPr>
              <w:t>经</w:t>
            </w:r>
            <w:r>
              <w:rPr>
                <w:rFonts w:hint="default" w:ascii="Times New Roman" w:hAnsi="Times New Roman" w:eastAsia="宋体" w:cs="Times New Roman"/>
                <w:color w:val="auto"/>
                <w:kern w:val="0"/>
                <w:sz w:val="24"/>
                <w:szCs w:val="24"/>
                <w:lang w:val="en-US" w:eastAsia="zh-CN" w:bidi="ar"/>
              </w:rPr>
              <w:t>布袋除尘器处理</w:t>
            </w:r>
            <w:r>
              <w:rPr>
                <w:rFonts w:hint="eastAsia" w:cs="Times New Roman"/>
                <w:color w:val="auto"/>
                <w:kern w:val="0"/>
                <w:sz w:val="24"/>
                <w:szCs w:val="24"/>
                <w:lang w:val="en-US" w:eastAsia="zh-CN" w:bidi="ar"/>
              </w:rPr>
              <w:t>，处理效率</w:t>
            </w:r>
            <w:r>
              <w:rPr>
                <w:rFonts w:hint="default" w:ascii="Times New Roman" w:hAnsi="Times New Roman" w:eastAsia="宋体" w:cs="Times New Roman"/>
                <w:color w:val="auto"/>
                <w:kern w:val="0"/>
                <w:sz w:val="24"/>
                <w:szCs w:val="24"/>
                <w:lang w:val="en-US" w:eastAsia="zh-CN" w:bidi="ar"/>
              </w:rPr>
              <w:t>9</w:t>
            </w:r>
            <w:r>
              <w:rPr>
                <w:rFonts w:hint="eastAsia"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颗粒物排放</w:t>
            </w:r>
            <w:r>
              <w:rPr>
                <w:rFonts w:hint="default" w:ascii="Times New Roman" w:hAnsi="Times New Roman" w:eastAsia="宋体" w:cs="Times New Roman"/>
                <w:color w:val="auto"/>
                <w:kern w:val="0"/>
                <w:sz w:val="24"/>
                <w:szCs w:val="24"/>
                <w:highlight w:val="none"/>
                <w:lang w:val="en-US" w:eastAsia="zh-CN" w:bidi="ar"/>
              </w:rPr>
              <w:t>浓度</w:t>
            </w:r>
            <w:r>
              <w:rPr>
                <w:rFonts w:hint="eastAsia" w:cs="Times New Roman"/>
                <w:color w:val="auto"/>
                <w:kern w:val="0"/>
                <w:sz w:val="24"/>
                <w:szCs w:val="24"/>
                <w:highlight w:val="none"/>
                <w:lang w:val="en-US" w:eastAsia="zh-CN" w:bidi="ar"/>
              </w:rPr>
              <w:t>20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排放</w:t>
            </w:r>
            <w:r>
              <w:rPr>
                <w:rFonts w:hint="eastAsia" w:ascii="Times New Roman" w:hAnsi="Times New Roman" w:eastAsia="宋体" w:cs="Times New Roman"/>
                <w:color w:val="auto"/>
                <w:kern w:val="0"/>
                <w:sz w:val="24"/>
                <w:szCs w:val="24"/>
                <w:lang w:val="en-US" w:eastAsia="zh-CN" w:bidi="ar"/>
              </w:rPr>
              <w:t>速率</w:t>
            </w:r>
            <w:r>
              <w:rPr>
                <w:rFonts w:hint="eastAsia" w:cs="Times New Roman"/>
                <w:color w:val="auto"/>
                <w:kern w:val="0"/>
                <w:sz w:val="24"/>
                <w:szCs w:val="24"/>
                <w:lang w:val="en-US" w:eastAsia="zh-CN" w:bidi="ar"/>
              </w:rPr>
              <w:t>3</w:t>
            </w:r>
            <w:r>
              <w:rPr>
                <w:rFonts w:hint="default" w:ascii="Times New Roman" w:hAnsi="Times New Roman" w:cs="Times New Roman"/>
                <w:color w:val="auto"/>
                <w:sz w:val="24"/>
                <w:highlight w:val="none"/>
                <w:lang w:val="en-US" w:eastAsia="zh-CN"/>
              </w:rPr>
              <w:t>kg/h</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snapToGrid/>
                <w:color w:val="auto"/>
                <w:kern w:val="2"/>
                <w:sz w:val="24"/>
                <w:szCs w:val="24"/>
                <w:highlight w:val="none"/>
                <w:lang w:val="en-US" w:eastAsia="zh-CN" w:bidi="ar-SA"/>
              </w:rPr>
              <w:t>排放量为</w:t>
            </w:r>
            <w:r>
              <w:rPr>
                <w:rFonts w:hint="eastAsia" w:cs="Times New Roman"/>
                <w:snapToGrid/>
                <w:color w:val="auto"/>
                <w:kern w:val="2"/>
                <w:sz w:val="24"/>
                <w:szCs w:val="24"/>
                <w:highlight w:val="none"/>
                <w:lang w:val="en-US" w:eastAsia="zh-CN" w:bidi="ar-SA"/>
              </w:rPr>
              <w:t>21.38</w:t>
            </w:r>
            <w:r>
              <w:rPr>
                <w:rFonts w:hint="default" w:ascii="Times New Roman" w:hAnsi="Times New Roman" w:eastAsia="宋体" w:cs="Times New Roman"/>
                <w:snapToGrid/>
                <w:color w:val="auto"/>
                <w:kern w:val="2"/>
                <w:sz w:val="24"/>
                <w:szCs w:val="24"/>
                <w:highlight w:val="none"/>
                <w:lang w:val="en-US" w:eastAsia="zh-CN" w:bidi="ar-SA"/>
              </w:rPr>
              <w:t>t/a</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满足</w:t>
            </w:r>
            <w:r>
              <w:rPr>
                <w:rFonts w:hint="default" w:ascii="Times New Roman" w:hAnsi="Times New Roman" w:cs="Times New Roman"/>
                <w:color w:val="auto"/>
                <w:spacing w:val="0"/>
                <w:sz w:val="24"/>
                <w:szCs w:val="24"/>
              </w:rPr>
              <w:t>《大气污染物综合排放标准》</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pacing w:val="0"/>
                <w:sz w:val="24"/>
                <w:szCs w:val="24"/>
              </w:rPr>
              <w:t>GB16297-1996</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pacing w:val="0"/>
                <w:sz w:val="24"/>
                <w:szCs w:val="24"/>
              </w:rPr>
              <w:t>表2中二级排放限值</w:t>
            </w:r>
            <w:r>
              <w:rPr>
                <w:rStyle w:val="93"/>
                <w:rFonts w:hint="eastAsia" w:ascii="Times New Roman" w:hAnsi="Times New Roman" w:eastAsia="宋体" w:cs="Times New Roman"/>
                <w:color w:val="auto"/>
                <w:sz w:val="24"/>
                <w:szCs w:val="24"/>
                <w:highlight w:val="none"/>
                <w:vertAlign w:val="baseline"/>
                <w:lang w:val="en-US" w:eastAsia="zh-CN" w:bidi="ar"/>
              </w:rPr>
              <w:t>（</w:t>
            </w:r>
            <w:r>
              <w:rPr>
                <w:rStyle w:val="93"/>
                <w:rFonts w:hint="default" w:ascii="Times New Roman" w:hAnsi="Times New Roman" w:eastAsia="宋体" w:cs="Times New Roman"/>
                <w:color w:val="auto"/>
                <w:sz w:val="24"/>
                <w:szCs w:val="24"/>
                <w:highlight w:val="none"/>
                <w:vertAlign w:val="baseline"/>
                <w:lang w:val="en-US" w:eastAsia="zh-CN" w:bidi="ar"/>
              </w:rPr>
              <w:t>颗粒</w:t>
            </w:r>
            <w:r>
              <w:rPr>
                <w:rStyle w:val="93"/>
                <w:rFonts w:hint="eastAsia" w:ascii="Times New Roman" w:hAnsi="Times New Roman" w:eastAsia="宋体" w:cs="Times New Roman"/>
                <w:color w:val="auto"/>
                <w:sz w:val="24"/>
                <w:szCs w:val="24"/>
                <w:highlight w:val="none"/>
                <w:vertAlign w:val="baseline"/>
                <w:lang w:val="en-US" w:eastAsia="zh-CN" w:bidi="ar"/>
              </w:rPr>
              <w:t>物</w:t>
            </w:r>
            <w:r>
              <w:rPr>
                <w:rStyle w:val="93"/>
                <w:rFonts w:hint="default" w:ascii="Times New Roman" w:hAnsi="Times New Roman" w:eastAsia="宋体" w:cs="Times New Roman"/>
                <w:color w:val="auto"/>
                <w:sz w:val="24"/>
                <w:szCs w:val="24"/>
                <w:highlight w:val="none"/>
                <w:vertAlign w:val="baseline"/>
                <w:lang w:val="en-US" w:eastAsia="zh-CN" w:bidi="ar"/>
              </w:rPr>
              <w:t>排放</w:t>
            </w:r>
            <w:r>
              <w:rPr>
                <w:rFonts w:hint="default" w:ascii="Times New Roman" w:hAnsi="Times New Roman" w:eastAsia="宋体" w:cs="Times New Roman"/>
                <w:color w:val="auto"/>
                <w:spacing w:val="0"/>
                <w:sz w:val="24"/>
                <w:szCs w:val="24"/>
                <w:lang w:val="en-US" w:eastAsia="zh-CN"/>
              </w:rPr>
              <w:t>浓度</w:t>
            </w:r>
            <w:r>
              <w:rPr>
                <w:rFonts w:hint="default" w:ascii="Times New Roman" w:hAnsi="Times New Roman" w:eastAsia="宋体" w:cs="Times New Roman"/>
                <w:color w:val="auto"/>
                <w:spacing w:val="0"/>
                <w:sz w:val="24"/>
                <w:szCs w:val="24"/>
              </w:rPr>
              <w:t>≤</w:t>
            </w:r>
            <w:r>
              <w:rPr>
                <w:rFonts w:hint="eastAsia" w:ascii="Times New Roman" w:hAnsi="Times New Roman" w:eastAsia="宋体" w:cs="Times New Roman"/>
                <w:color w:val="auto"/>
                <w:spacing w:val="0"/>
                <w:sz w:val="24"/>
                <w:szCs w:val="24"/>
                <w:lang w:val="en-US" w:eastAsia="zh-CN"/>
              </w:rPr>
              <w:t>12</w:t>
            </w:r>
            <w:r>
              <w:rPr>
                <w:rFonts w:hint="default" w:ascii="Times New Roman" w:hAnsi="Times New Roman" w:eastAsia="宋体" w:cs="Times New Roman"/>
                <w:color w:val="auto"/>
                <w:spacing w:val="0"/>
                <w:sz w:val="24"/>
                <w:szCs w:val="24"/>
                <w:lang w:val="en-US" w:eastAsia="zh-CN"/>
              </w:rPr>
              <w:t>0mg/m</w:t>
            </w:r>
            <w:r>
              <w:rPr>
                <w:rFonts w:hint="default" w:ascii="Times New Roman" w:hAnsi="Times New Roman" w:eastAsia="宋体" w:cs="Times New Roman"/>
                <w:color w:val="auto"/>
                <w:spacing w:val="0"/>
                <w:sz w:val="24"/>
                <w:szCs w:val="24"/>
                <w:vertAlign w:val="superscript"/>
                <w:lang w:val="en-US" w:eastAsia="zh-CN"/>
              </w:rPr>
              <w:t>3</w:t>
            </w:r>
            <w:r>
              <w:rPr>
                <w:rFonts w:hint="eastAsia" w:ascii="Times New Roman" w:hAnsi="Times New Roman" w:eastAsia="宋体" w:cs="Times New Roman"/>
                <w:color w:val="auto"/>
                <w:spacing w:val="0"/>
                <w:sz w:val="24"/>
                <w:szCs w:val="24"/>
                <w:lang w:val="en-US" w:eastAsia="zh-CN"/>
              </w:rPr>
              <w:t>，15m排气筒排放速率≤3.5kg/h）</w:t>
            </w:r>
            <w:r>
              <w:rPr>
                <w:rFonts w:hint="default" w:ascii="Times New Roman" w:hAnsi="Times New Roman" w:eastAsia="宋体" w:cs="Times New Roman"/>
                <w:color w:val="auto"/>
                <w:spacing w:val="0"/>
                <w:sz w:val="24"/>
                <w:szCs w:val="24"/>
                <w:lang w:eastAsia="zh-CN"/>
              </w:rPr>
              <w:t>。</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无组织废气</w:t>
            </w:r>
          </w:p>
          <w:p>
            <w:pPr>
              <w:pStyle w:val="45"/>
              <w:keepNext w:val="0"/>
              <w:keepLines w:val="0"/>
              <w:pageBreakBefore w:val="0"/>
              <w:widowControl w:val="0"/>
              <w:kinsoku/>
              <w:wordWrap/>
              <w:overflowPunct/>
              <w:topLinePunct w:val="0"/>
              <w:bidi w:val="0"/>
              <w:adjustRightInd w:val="0"/>
              <w:snapToGrid w:val="0"/>
              <w:ind w:left="0" w:lef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本项目无组织废气主要为生产过程中外溢的粉尘废气及堆场产生的无组织粉尘废气。</w:t>
            </w:r>
          </w:p>
          <w:p>
            <w:pPr>
              <w:pStyle w:val="45"/>
              <w:keepNext w:val="0"/>
              <w:keepLines w:val="0"/>
              <w:pageBreakBefore w:val="0"/>
              <w:widowControl w:val="0"/>
              <w:kinsoku/>
              <w:wordWrap/>
              <w:overflowPunct/>
              <w:topLinePunct w:val="0"/>
              <w:bidi w:val="0"/>
              <w:adjustRightInd w:val="0"/>
              <w:snapToGrid w:val="0"/>
              <w:ind w:left="0" w:leftChars="0"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highlight w:val="none"/>
                <w:lang w:val="en-US" w:eastAsia="zh-CN"/>
              </w:rPr>
              <w:t>在破碎、筛分、搅拌和皮带传送过程中集气</w:t>
            </w:r>
            <w:r>
              <w:rPr>
                <w:rFonts w:hint="default" w:ascii="Times New Roman" w:hAnsi="Times New Roman" w:eastAsia="宋体" w:cs="Times New Roman"/>
                <w:color w:val="auto"/>
                <w:kern w:val="0"/>
                <w:sz w:val="24"/>
                <w:szCs w:val="24"/>
                <w:lang w:val="en-US" w:eastAsia="zh-CN" w:bidi="ar"/>
              </w:rPr>
              <w:t>效率</w:t>
            </w:r>
            <w:r>
              <w:rPr>
                <w:rFonts w:hint="eastAsia" w:ascii="Times New Roman" w:hAnsi="Times New Roman" w:eastAsia="宋体" w:cs="Times New Roman"/>
                <w:color w:val="auto"/>
                <w:kern w:val="0"/>
                <w:sz w:val="24"/>
                <w:szCs w:val="24"/>
                <w:lang w:val="en-US" w:eastAsia="zh-CN" w:bidi="ar"/>
              </w:rPr>
              <w:t>99</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sz w:val="24"/>
                <w:highlight w:val="none"/>
                <w:lang w:val="en-US" w:eastAsia="zh-CN"/>
              </w:rPr>
              <w:t>，约1%无组织散逸，则</w:t>
            </w:r>
            <w:r>
              <w:rPr>
                <w:rFonts w:hint="default" w:ascii="Times New Roman" w:hAnsi="Times New Roman" w:eastAsia="宋体" w:cs="Times New Roman"/>
                <w:color w:val="auto"/>
                <w:sz w:val="24"/>
                <w:szCs w:val="24"/>
                <w:highlight w:val="none"/>
                <w:lang w:val="en-US" w:eastAsia="zh-CN"/>
              </w:rPr>
              <w:t>无组织粉尘</w:t>
            </w:r>
            <w:r>
              <w:rPr>
                <w:rFonts w:hint="eastAsia"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lang w:val="en-US" w:eastAsia="zh-CN"/>
              </w:rPr>
              <w:t>量21.6</w:t>
            </w:r>
            <w:r>
              <w:rPr>
                <w:rFonts w:hint="eastAsia"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p>
          <w:p>
            <w:pPr>
              <w:pStyle w:val="45"/>
              <w:keepNext w:val="0"/>
              <w:keepLines w:val="0"/>
              <w:pageBreakBefore w:val="0"/>
              <w:widowControl w:val="0"/>
              <w:kinsoku/>
              <w:wordWrap/>
              <w:overflowPunct/>
              <w:topLinePunct w:val="0"/>
              <w:bidi w:val="0"/>
              <w:adjustRightInd w:val="0"/>
              <w:snapToGrid w:val="0"/>
              <w:ind w:left="0" w:leftChars="0" w:firstLine="480" w:firstLineChars="200"/>
              <w:textAlignment w:val="auto"/>
              <w:rPr>
                <w:rFonts w:hint="default" w:ascii="Times New Roman" w:hAnsi="Times New Roman" w:cs="Times New Roman"/>
                <w:color w:val="auto"/>
                <w:sz w:val="24"/>
                <w:highlight w:val="none"/>
                <w:lang w:val="en-US" w:eastAsia="zh-CN"/>
              </w:rPr>
            </w:pPr>
            <w:r>
              <w:rPr>
                <w:rFonts w:hint="eastAsia" w:cs="Times New Roman"/>
                <w:color w:val="auto"/>
                <w:sz w:val="24"/>
                <w:szCs w:val="24"/>
                <w:highlight w:val="none"/>
                <w:lang w:val="en-US" w:eastAsia="zh-CN"/>
              </w:rPr>
              <w:t>矿渣堆棚四周围挡，加盖防雨棚，地面均已硬化。堆场在矿渣堆棚内，堆场区域四周设置围挡，</w:t>
            </w:r>
            <w:r>
              <w:rPr>
                <w:rFonts w:hint="eastAsia" w:cs="Times New Roman"/>
                <w:color w:val="auto"/>
                <w:sz w:val="24"/>
                <w:highlight w:val="none"/>
                <w:lang w:val="en-US" w:eastAsia="zh-CN"/>
              </w:rPr>
              <w:t>经采取洒水抑尘及厂区通风等措施，堆场无组织粉尘降尘效率按照85%计算，约15%无组织排放，</w:t>
            </w:r>
            <w:r>
              <w:rPr>
                <w:rFonts w:hint="default" w:ascii="Times New Roman" w:hAnsi="Times New Roman" w:eastAsia="宋体" w:cs="Times New Roman"/>
                <w:color w:val="auto"/>
                <w:sz w:val="24"/>
                <w:szCs w:val="24"/>
                <w:highlight w:val="none"/>
                <w:lang w:val="en-US" w:eastAsia="zh-CN"/>
              </w:rPr>
              <w:t>则无组织粉尘排放量</w:t>
            </w:r>
            <w:r>
              <w:rPr>
                <w:rFonts w:hint="eastAsia" w:cs="Times New Roman"/>
                <w:color w:val="auto"/>
                <w:sz w:val="24"/>
                <w:szCs w:val="24"/>
                <w:highlight w:val="none"/>
                <w:lang w:val="en-US" w:eastAsia="zh-CN"/>
              </w:rPr>
              <w:t>3.24</w:t>
            </w:r>
            <w:r>
              <w:rPr>
                <w:rFonts w:hint="eastAsia"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en-US" w:eastAsia="zh-CN"/>
              </w:rPr>
              <w:t>/a，0.</w:t>
            </w:r>
            <w:r>
              <w:rPr>
                <w:rFonts w:hint="eastAsia"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lang w:val="en-US" w:eastAsia="zh-CN"/>
              </w:rPr>
              <w:t>kg/h。</w:t>
            </w:r>
          </w:p>
          <w:p>
            <w:pPr>
              <w:pStyle w:val="45"/>
              <w:keepNext w:val="0"/>
              <w:keepLines w:val="0"/>
              <w:pageBreakBefore w:val="0"/>
              <w:widowControl w:val="0"/>
              <w:kinsoku/>
              <w:wordWrap/>
              <w:overflowPunct/>
              <w:topLinePunct w:val="0"/>
              <w:bidi w:val="0"/>
              <w:adjustRightInd w:val="0"/>
              <w:snapToGrid w:val="0"/>
              <w:ind w:left="0" w:leftChars="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钢渣在运输及卸车过程中，会产生少量的粉尘，在运输过程中需降低车速，减少颠簸，同时洒水抑尘，并用车载篷布遮盖，减少在运输过程中的无组织粉尘；在卸车</w:t>
            </w:r>
            <w:r>
              <w:rPr>
                <w:rFonts w:hint="eastAsia" w:cs="Times New Roman"/>
                <w:color w:val="auto"/>
                <w:spacing w:val="4"/>
                <w:kern w:val="0"/>
                <w:sz w:val="24"/>
                <w:highlight w:val="none"/>
                <w:lang w:val="en-US" w:eastAsia="zh-CN"/>
              </w:rPr>
              <w:t>过程采用洒水抑尘降低粉尘量。</w:t>
            </w:r>
            <w:r>
              <w:rPr>
                <w:rFonts w:hint="eastAsia" w:cs="Times New Roman"/>
                <w:color w:val="auto"/>
                <w:sz w:val="24"/>
                <w:highlight w:val="none"/>
                <w:lang w:val="en-US" w:eastAsia="zh-CN"/>
              </w:rPr>
              <w:t>经合理处置后，运输及装卸过程产生的粉尘很少，可忽略不计。</w:t>
            </w:r>
          </w:p>
          <w:bookmarkEnd w:id="200"/>
          <w:bookmarkEnd w:id="201"/>
          <w:bookmarkEnd w:id="202"/>
          <w:bookmarkEnd w:id="203"/>
          <w:bookmarkEnd w:id="204"/>
          <w:bookmarkEnd w:id="205"/>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FF"/>
                <w:sz w:val="24"/>
                <w:szCs w:val="24"/>
                <w:highlight w:val="none"/>
                <w:lang w:val="en-US" w:eastAsia="zh-CN"/>
              </w:rPr>
            </w:pPr>
            <w:bookmarkStart w:id="206" w:name="bookmark91"/>
            <w:bookmarkEnd w:id="206"/>
            <w:bookmarkStart w:id="207" w:name="C.6.4 非正常排放量核算"/>
            <w:bookmarkEnd w:id="207"/>
            <w:r>
              <w:rPr>
                <w:rFonts w:hint="eastAsia" w:cs="Times New Roman"/>
                <w:color w:val="auto"/>
                <w:sz w:val="24"/>
                <w:szCs w:val="24"/>
                <w:highlight w:val="none"/>
                <w:lang w:val="en-US" w:eastAsia="zh-CN"/>
              </w:rPr>
              <w:t>技改</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污染物产排情况详见表4.2-</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w:t>
            </w:r>
          </w:p>
        </w:tc>
      </w:tr>
    </w:tbl>
    <w:p>
      <w:pPr>
        <w:adjustRightInd w:val="0"/>
        <w:snapToGrid w:val="0"/>
        <w:spacing w:line="360" w:lineRule="auto"/>
        <w:rPr>
          <w:rFonts w:hint="default" w:ascii="Times New Roman" w:hAnsi="Times New Roman" w:cs="Times New Roman"/>
          <w:b/>
          <w:color w:val="0000FF"/>
          <w:kern w:val="0"/>
          <w:sz w:val="28"/>
          <w:szCs w:val="28"/>
        </w:rPr>
        <w:sectPr>
          <w:pgSz w:w="11907" w:h="16840"/>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废气污染源源强核算结果及相关参数一览表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42"/>
        <w:gridCol w:w="627"/>
        <w:gridCol w:w="686"/>
        <w:gridCol w:w="703"/>
        <w:gridCol w:w="717"/>
        <w:gridCol w:w="917"/>
        <w:gridCol w:w="931"/>
        <w:gridCol w:w="781"/>
        <w:gridCol w:w="1402"/>
        <w:gridCol w:w="768"/>
        <w:gridCol w:w="1072"/>
        <w:gridCol w:w="881"/>
        <w:gridCol w:w="1098"/>
        <w:gridCol w:w="850"/>
        <w:gridCol w:w="374"/>
        <w:gridCol w:w="366"/>
        <w:gridCol w:w="560"/>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3" w:hRule="atLeast"/>
          <w:jc w:val="center"/>
        </w:trPr>
        <w:tc>
          <w:tcPr>
            <w:tcW w:w="123" w:type="pct"/>
            <w:vMerge w:val="restar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排放形式</w:t>
            </w:r>
          </w:p>
        </w:tc>
        <w:tc>
          <w:tcPr>
            <w:tcW w:w="224" w:type="pct"/>
            <w:vMerge w:val="restar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生产线/设备名称</w:t>
            </w:r>
          </w:p>
        </w:tc>
        <w:tc>
          <w:tcPr>
            <w:tcW w:w="245" w:type="pct"/>
            <w:vMerge w:val="restar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污染源</w:t>
            </w:r>
          </w:p>
        </w:tc>
        <w:tc>
          <w:tcPr>
            <w:tcW w:w="251" w:type="pct"/>
            <w:vMerge w:val="restar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w:t>
            </w:r>
          </w:p>
        </w:tc>
        <w:tc>
          <w:tcPr>
            <w:tcW w:w="1172" w:type="pct"/>
            <w:gridSpan w:val="4"/>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产生源强</w:t>
            </w:r>
          </w:p>
        </w:tc>
        <w:tc>
          <w:tcPr>
            <w:tcW w:w="499" w:type="pct"/>
            <w:vMerge w:val="restar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治理措施</w:t>
            </w:r>
          </w:p>
        </w:tc>
        <w:tc>
          <w:tcPr>
            <w:tcW w:w="274" w:type="pct"/>
            <w:vMerge w:val="restar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去除率</w:t>
            </w:r>
          </w:p>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390" w:type="pct"/>
            <w:gridSpan w:val="4"/>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排放源强</w:t>
            </w:r>
          </w:p>
        </w:tc>
        <w:tc>
          <w:tcPr>
            <w:tcW w:w="465" w:type="pct"/>
            <w:gridSpan w:val="3"/>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排气筒概况</w:t>
            </w:r>
          </w:p>
        </w:tc>
        <w:tc>
          <w:tcPr>
            <w:tcW w:w="353" w:type="pct"/>
            <w:vMerge w:val="restar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3" w:hRule="atLeast"/>
          <w:jc w:val="center"/>
        </w:trPr>
        <w:tc>
          <w:tcPr>
            <w:tcW w:w="123" w:type="pct"/>
            <w:vMerge w:val="continue"/>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c>
          <w:tcPr>
            <w:tcW w:w="224" w:type="pct"/>
            <w:vMerge w:val="continue"/>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c>
          <w:tcPr>
            <w:tcW w:w="245" w:type="pct"/>
            <w:vMerge w:val="continue"/>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c>
          <w:tcPr>
            <w:tcW w:w="251" w:type="pct"/>
            <w:vMerge w:val="continue"/>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c>
          <w:tcPr>
            <w:tcW w:w="256"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核算方法</w:t>
            </w:r>
          </w:p>
        </w:tc>
        <w:tc>
          <w:tcPr>
            <w:tcW w:w="305"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产生</w:t>
            </w:r>
            <w:r>
              <w:rPr>
                <w:rFonts w:hint="default" w:ascii="Times New Roman" w:hAnsi="Times New Roman" w:eastAsia="宋体" w:cs="Times New Roman"/>
                <w:b w:val="0"/>
                <w:bCs w:val="0"/>
                <w:color w:val="auto"/>
                <w:sz w:val="21"/>
                <w:szCs w:val="21"/>
                <w:highlight w:val="none"/>
              </w:rPr>
              <w:t>废气量</w:t>
            </w:r>
          </w:p>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Style w:val="93"/>
                <w:rFonts w:hint="default" w:ascii="Times New Roman" w:hAnsi="Times New Roman" w:eastAsia="宋体" w:cs="Times New Roman"/>
                <w:color w:val="auto"/>
                <w:sz w:val="21"/>
                <w:szCs w:val="21"/>
                <w:highlight w:val="none"/>
                <w:vertAlign w:val="baseline"/>
                <w:lang w:val="en-US" w:eastAsia="zh-CN" w:bidi="ar"/>
              </w:rPr>
              <w:t>（m</w:t>
            </w:r>
            <w:r>
              <w:rPr>
                <w:rStyle w:val="93"/>
                <w:rFonts w:hint="default" w:ascii="Times New Roman" w:hAnsi="Times New Roman" w:eastAsia="宋体" w:cs="Times New Roman"/>
                <w:color w:val="auto"/>
                <w:sz w:val="21"/>
                <w:szCs w:val="21"/>
                <w:highlight w:val="none"/>
                <w:vertAlign w:val="superscript"/>
                <w:lang w:val="en-US" w:eastAsia="zh-CN" w:bidi="ar"/>
              </w:rPr>
              <w:t>3</w:t>
            </w:r>
            <w:r>
              <w:rPr>
                <w:rStyle w:val="93"/>
                <w:rFonts w:hint="default" w:ascii="Times New Roman" w:hAnsi="Times New Roman" w:eastAsia="宋体" w:cs="Times New Roman"/>
                <w:color w:val="auto"/>
                <w:sz w:val="21"/>
                <w:szCs w:val="21"/>
                <w:highlight w:val="none"/>
                <w:vertAlign w:val="baseline"/>
                <w:lang w:val="en-US" w:eastAsia="zh-CN" w:bidi="ar"/>
              </w:rPr>
              <w:t>/h）</w:t>
            </w:r>
          </w:p>
        </w:tc>
        <w:tc>
          <w:tcPr>
            <w:tcW w:w="332"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产生浓度(mg/m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277"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产生量(t/a)</w:t>
            </w:r>
          </w:p>
        </w:tc>
        <w:tc>
          <w:tcPr>
            <w:tcW w:w="499" w:type="pct"/>
            <w:vMerge w:val="continue"/>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c>
          <w:tcPr>
            <w:tcW w:w="274" w:type="pct"/>
            <w:vMerge w:val="continue"/>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c>
          <w:tcPr>
            <w:tcW w:w="382"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排放废气量</w:t>
            </w:r>
          </w:p>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/h）</w:t>
            </w:r>
          </w:p>
        </w:tc>
        <w:tc>
          <w:tcPr>
            <w:tcW w:w="314"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391"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w:t>
            </w:r>
            <w:r>
              <w:rPr>
                <w:rFonts w:hint="default" w:ascii="Times New Roman" w:hAnsi="Times New Roman" w:eastAsia="宋体" w:cs="Times New Roman"/>
                <w:b w:val="0"/>
                <w:bCs w:val="0"/>
                <w:color w:val="auto"/>
                <w:sz w:val="21"/>
                <w:szCs w:val="21"/>
                <w:highlight w:val="none"/>
                <w:lang w:val="en-US" w:eastAsia="zh-CN"/>
              </w:rPr>
              <w:t>速率</w:t>
            </w:r>
            <w:r>
              <w:rPr>
                <w:rFonts w:hint="default" w:ascii="Times New Roman" w:hAnsi="Times New Roman" w:eastAsia="宋体" w:cs="Times New Roman"/>
                <w:b w:val="0"/>
                <w:bCs w:val="0"/>
                <w:color w:val="auto"/>
                <w:sz w:val="21"/>
                <w:szCs w:val="21"/>
                <w:highlight w:val="none"/>
              </w:rPr>
              <w:t>(kg/h)</w:t>
            </w:r>
          </w:p>
        </w:tc>
        <w:tc>
          <w:tcPr>
            <w:tcW w:w="301"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排放量(t/a</w:t>
            </w:r>
            <w:r>
              <w:rPr>
                <w:rFonts w:hint="default" w:ascii="Times New Roman" w:hAnsi="Times New Roman" w:eastAsia="宋体" w:cs="Times New Roman"/>
                <w:b w:val="0"/>
                <w:bCs w:val="0"/>
                <w:color w:val="auto"/>
                <w:sz w:val="21"/>
                <w:szCs w:val="21"/>
                <w:highlight w:val="none"/>
                <w:lang w:eastAsia="zh-CN"/>
              </w:rPr>
              <w:t>）</w:t>
            </w:r>
          </w:p>
        </w:tc>
        <w:tc>
          <w:tcPr>
            <w:tcW w:w="134"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高度m</w:t>
            </w:r>
          </w:p>
        </w:tc>
        <w:tc>
          <w:tcPr>
            <w:tcW w:w="131"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内径m</w:t>
            </w:r>
          </w:p>
        </w:tc>
        <w:tc>
          <w:tcPr>
            <w:tcW w:w="199"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温度℃</w:t>
            </w:r>
          </w:p>
        </w:tc>
        <w:tc>
          <w:tcPr>
            <w:tcW w:w="353" w:type="pct"/>
            <w:vMerge w:val="continue"/>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3" w:hRule="atLeast"/>
          <w:jc w:val="center"/>
        </w:trPr>
        <w:tc>
          <w:tcPr>
            <w:tcW w:w="123"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有</w:t>
            </w:r>
          </w:p>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组</w:t>
            </w:r>
          </w:p>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织</w:t>
            </w:r>
          </w:p>
        </w:tc>
        <w:tc>
          <w:tcPr>
            <w:tcW w:w="224" w:type="pct"/>
            <w:vMerge w:val="restar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0000FF"/>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钢渣综合利用项目</w:t>
            </w:r>
          </w:p>
        </w:tc>
        <w:tc>
          <w:tcPr>
            <w:tcW w:w="245"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钢渣综合利用项目</w:t>
            </w:r>
            <w:r>
              <w:rPr>
                <w:rFonts w:hint="default" w:ascii="Times New Roman" w:hAnsi="Times New Roman" w:eastAsia="宋体" w:cs="Times New Roman"/>
                <w:b w:val="0"/>
                <w:bCs w:val="0"/>
                <w:color w:val="auto"/>
                <w:sz w:val="21"/>
                <w:szCs w:val="21"/>
                <w:highlight w:val="none"/>
                <w:lang w:val="en-US" w:eastAsia="zh-CN"/>
              </w:rPr>
              <w:t>废气</w:t>
            </w:r>
            <w:r>
              <w:rPr>
                <w:rFonts w:hint="eastAsia"/>
                <w:color w:val="auto"/>
                <w:lang w:val="en-US" w:eastAsia="zh-CN"/>
              </w:rPr>
              <w:t>G1</w:t>
            </w:r>
          </w:p>
        </w:tc>
        <w:tc>
          <w:tcPr>
            <w:tcW w:w="2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kern w:val="0"/>
                <w:sz w:val="21"/>
                <w:szCs w:val="21"/>
                <w:highlight w:val="none"/>
                <w:lang w:val="en-US" w:eastAsia="zh-CN" w:bidi="ar"/>
              </w:rPr>
              <w:t>颗粒物</w:t>
            </w:r>
          </w:p>
        </w:tc>
        <w:tc>
          <w:tcPr>
            <w:tcW w:w="256"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系数法</w:t>
            </w:r>
          </w:p>
        </w:tc>
        <w:tc>
          <w:tcPr>
            <w:tcW w:w="305"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150000</w:t>
            </w:r>
          </w:p>
        </w:tc>
        <w:tc>
          <w:tcPr>
            <w:tcW w:w="3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outlineLvl w:val="9"/>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2000</w:t>
            </w:r>
          </w:p>
        </w:tc>
        <w:tc>
          <w:tcPr>
            <w:tcW w:w="27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outlineLvl w:val="9"/>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2160</w:t>
            </w:r>
          </w:p>
        </w:tc>
        <w:tc>
          <w:tcPr>
            <w:tcW w:w="499"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rPr>
            </w:pPr>
            <w:r>
              <w:rPr>
                <w:rFonts w:hint="eastAsia" w:cs="Times New Roman"/>
                <w:color w:val="auto"/>
                <w:sz w:val="21"/>
                <w:szCs w:val="21"/>
                <w:highlight w:val="none"/>
                <w:lang w:val="en-US" w:eastAsia="zh-CN"/>
              </w:rPr>
              <w:t>集气后</w:t>
            </w:r>
            <w:r>
              <w:rPr>
                <w:rFonts w:hint="default" w:ascii="Times New Roman" w:hAnsi="Times New Roman" w:cs="Times New Roman"/>
                <w:color w:val="auto"/>
                <w:sz w:val="21"/>
                <w:szCs w:val="21"/>
                <w:highlight w:val="none"/>
                <w:lang w:eastAsia="zh-CN"/>
              </w:rPr>
              <w:t>统一经1套布袋除尘器处理后，通过1</w:t>
            </w:r>
            <w:r>
              <w:rPr>
                <w:rFonts w:hint="eastAsia" w:cs="Times New Roman"/>
                <w:color w:val="auto"/>
                <w:sz w:val="21"/>
                <w:szCs w:val="21"/>
                <w:highlight w:val="none"/>
                <w:lang w:val="en-US" w:eastAsia="zh-CN"/>
              </w:rPr>
              <w:t>根</w:t>
            </w:r>
            <w:r>
              <w:rPr>
                <w:rFonts w:hint="default" w:ascii="Times New Roman" w:hAnsi="Times New Roman" w:cs="Times New Roman"/>
                <w:color w:val="auto"/>
                <w:sz w:val="21"/>
                <w:szCs w:val="21"/>
                <w:highlight w:val="none"/>
                <w:lang w:eastAsia="zh-CN"/>
              </w:rPr>
              <w:t>15m高排气筒排放。（</w:t>
            </w:r>
            <w:r>
              <w:rPr>
                <w:rFonts w:hint="default" w:ascii="Times New Roman" w:hAnsi="Times New Roman" w:cs="Times New Roman"/>
                <w:color w:val="auto"/>
                <w:sz w:val="21"/>
                <w:szCs w:val="21"/>
                <w:highlight w:val="none"/>
                <w:lang w:val="en-US" w:eastAsia="zh-CN"/>
              </w:rPr>
              <w:t>DA0</w:t>
            </w:r>
            <w:r>
              <w:rPr>
                <w:rFonts w:hint="eastAsia" w:cs="Times New Roman"/>
                <w:color w:val="auto"/>
                <w:sz w:val="21"/>
                <w:szCs w:val="21"/>
                <w:highlight w:val="none"/>
                <w:lang w:val="en-US" w:eastAsia="zh-CN"/>
              </w:rPr>
              <w:t>03</w:t>
            </w:r>
            <w:r>
              <w:rPr>
                <w:rFonts w:hint="default" w:ascii="Times New Roman" w:hAnsi="Times New Roman" w:cs="Times New Roman"/>
                <w:color w:val="auto"/>
                <w:sz w:val="21"/>
                <w:szCs w:val="21"/>
                <w:highlight w:val="none"/>
                <w:lang w:eastAsia="zh-CN"/>
              </w:rPr>
              <w:t>）</w:t>
            </w:r>
          </w:p>
        </w:tc>
        <w:tc>
          <w:tcPr>
            <w:tcW w:w="274"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9</w:t>
            </w:r>
            <w:r>
              <w:rPr>
                <w:rFonts w:hint="eastAsia" w:cs="Times New Roman"/>
                <w:color w:val="auto"/>
                <w:sz w:val="21"/>
                <w:szCs w:val="21"/>
                <w:highlight w:val="none"/>
                <w:lang w:val="en-US" w:eastAsia="zh-CN"/>
              </w:rPr>
              <w:t>9</w:t>
            </w:r>
          </w:p>
        </w:tc>
        <w:tc>
          <w:tcPr>
            <w:tcW w:w="38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color w:val="0000FF"/>
                <w:kern w:val="0"/>
                <w:sz w:val="21"/>
                <w:szCs w:val="21"/>
                <w:highlight w:val="none"/>
                <w:lang w:val="en-US" w:eastAsia="zh-CN" w:bidi="ar"/>
              </w:rPr>
            </w:pPr>
            <w:r>
              <w:rPr>
                <w:rFonts w:hint="eastAsia" w:cs="Times New Roman"/>
                <w:color w:val="auto"/>
                <w:kern w:val="0"/>
                <w:sz w:val="21"/>
                <w:szCs w:val="21"/>
                <w:highlight w:val="none"/>
                <w:lang w:val="en-US" w:eastAsia="zh-CN" w:bidi="ar"/>
              </w:rPr>
              <w:t>150000</w:t>
            </w:r>
          </w:p>
        </w:tc>
        <w:tc>
          <w:tcPr>
            <w:tcW w:w="314" w:type="pct"/>
            <w:tcBorders>
              <w:tl2br w:val="nil"/>
              <w:tr2bl w:val="nil"/>
            </w:tcBorders>
            <w:noWrap w:val="0"/>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0000FF"/>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20</w:t>
            </w:r>
          </w:p>
        </w:tc>
        <w:tc>
          <w:tcPr>
            <w:tcW w:w="391" w:type="pct"/>
            <w:tcBorders>
              <w:tl2br w:val="nil"/>
              <w:tr2bl w:val="nil"/>
            </w:tcBorders>
            <w:noWrap w:val="0"/>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0000FF"/>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w:t>
            </w:r>
          </w:p>
        </w:tc>
        <w:tc>
          <w:tcPr>
            <w:tcW w:w="301" w:type="pct"/>
            <w:tcBorders>
              <w:tl2br w:val="nil"/>
              <w:tr2bl w:val="nil"/>
            </w:tcBorders>
            <w:noWrap w:val="0"/>
            <w:tcMar>
              <w:top w:w="0" w:type="dxa"/>
              <w:left w:w="28" w:type="dxa"/>
              <w:bottom w:w="0" w:type="dxa"/>
              <w:right w:w="2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0000FF"/>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21.38</w:t>
            </w:r>
          </w:p>
        </w:tc>
        <w:tc>
          <w:tcPr>
            <w:tcW w:w="134"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15</w:t>
            </w:r>
          </w:p>
        </w:tc>
        <w:tc>
          <w:tcPr>
            <w:tcW w:w="131"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2.0</w:t>
            </w:r>
          </w:p>
        </w:tc>
        <w:tc>
          <w:tcPr>
            <w:tcW w:w="199"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25</w:t>
            </w:r>
          </w:p>
        </w:tc>
        <w:tc>
          <w:tcPr>
            <w:tcW w:w="353" w:type="pct"/>
            <w:tcBorders>
              <w:tl2br w:val="nil"/>
              <w:tr2bl w:val="nil"/>
            </w:tcBorders>
            <w:noWrap w:val="0"/>
            <w:tcMar>
              <w:top w:w="0" w:type="dxa"/>
              <w:left w:w="28" w:type="dxa"/>
              <w:bottom w:w="0" w:type="dxa"/>
              <w:right w:w="28" w:type="dxa"/>
            </w:tcMar>
            <w:vAlign w:val="center"/>
          </w:tcPr>
          <w:p>
            <w:pPr>
              <w:pStyle w:val="92"/>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b w:val="0"/>
                <w:bCs w:val="0"/>
                <w:color w:val="0000FF"/>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3" w:hRule="atLeast"/>
          <w:jc w:val="center"/>
        </w:trPr>
        <w:tc>
          <w:tcPr>
            <w:tcW w:w="123"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无组织</w:t>
            </w:r>
          </w:p>
        </w:tc>
        <w:tc>
          <w:tcPr>
            <w:tcW w:w="224" w:type="pct"/>
            <w:vMerge w:val="continue"/>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rPr>
            </w:pPr>
          </w:p>
        </w:tc>
        <w:tc>
          <w:tcPr>
            <w:tcW w:w="496" w:type="pct"/>
            <w:gridSpan w:val="2"/>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olor w:val="auto"/>
                <w:lang w:val="en-US" w:eastAsia="zh-CN"/>
              </w:rPr>
              <w:t>无组织废气</w:t>
            </w:r>
          </w:p>
        </w:tc>
        <w:tc>
          <w:tcPr>
            <w:tcW w:w="256"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系数法</w:t>
            </w:r>
          </w:p>
        </w:tc>
        <w:tc>
          <w:tcPr>
            <w:tcW w:w="305"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Style w:val="93"/>
                <w:rFonts w:hint="default" w:ascii="Times New Roman" w:hAnsi="Times New Roman" w:eastAsia="宋体" w:cs="Times New Roman"/>
                <w:color w:val="auto"/>
                <w:sz w:val="21"/>
                <w:szCs w:val="21"/>
                <w:highlight w:val="none"/>
                <w:vertAlign w:val="baseline"/>
                <w:lang w:val="en-US" w:eastAsia="zh-CN" w:bidi="ar"/>
              </w:rPr>
            </w:pPr>
            <w:r>
              <w:rPr>
                <w:rStyle w:val="93"/>
                <w:rFonts w:hint="default" w:ascii="Times New Roman" w:hAnsi="Times New Roman" w:eastAsia="宋体" w:cs="Times New Roman"/>
                <w:color w:val="auto"/>
                <w:sz w:val="21"/>
                <w:szCs w:val="21"/>
                <w:highlight w:val="none"/>
                <w:vertAlign w:val="baseline"/>
                <w:lang w:val="en-US" w:eastAsia="zh-CN" w:bidi="ar"/>
              </w:rPr>
              <w:t>/</w:t>
            </w:r>
          </w:p>
        </w:tc>
        <w:tc>
          <w:tcPr>
            <w:tcW w:w="332"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Style w:val="93"/>
                <w:rFonts w:hint="default" w:ascii="Times New Roman" w:hAnsi="Times New Roman" w:eastAsia="宋体" w:cs="Times New Roman"/>
                <w:color w:val="auto"/>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277"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21.6</w:t>
            </w:r>
          </w:p>
        </w:tc>
        <w:tc>
          <w:tcPr>
            <w:tcW w:w="499" w:type="pct"/>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加强车间通风</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洒水抑尘</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运输过程使用车载篷布遮盖</w:t>
            </w:r>
            <w:r>
              <w:rPr>
                <w:rFonts w:hint="eastAsia" w:cs="Times New Roman"/>
                <w:color w:val="auto"/>
                <w:szCs w:val="21"/>
                <w:highlight w:val="none"/>
                <w:lang w:val="en-US" w:eastAsia="zh-CN"/>
              </w:rPr>
              <w:t>。</w:t>
            </w:r>
          </w:p>
        </w:tc>
        <w:tc>
          <w:tcPr>
            <w:tcW w:w="274"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85%</w:t>
            </w:r>
          </w:p>
        </w:tc>
        <w:tc>
          <w:tcPr>
            <w:tcW w:w="382"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textAlignment w:val="auto"/>
              <w:outlineLvl w:val="9"/>
              <w:rPr>
                <w:rStyle w:val="93"/>
                <w:rFonts w:hint="default" w:ascii="Times New Roman" w:hAnsi="Times New Roman" w:eastAsia="宋体" w:cs="Times New Roman"/>
                <w:color w:val="auto"/>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314" w:type="pct"/>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91" w:type="pct"/>
            <w:tcBorders>
              <w:tl2br w:val="nil"/>
              <w:tr2bl w:val="nil"/>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42</w:t>
            </w:r>
          </w:p>
        </w:tc>
        <w:tc>
          <w:tcPr>
            <w:tcW w:w="301"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3.24</w:t>
            </w:r>
          </w:p>
        </w:tc>
        <w:tc>
          <w:tcPr>
            <w:tcW w:w="819" w:type="pct"/>
            <w:gridSpan w:val="4"/>
            <w:tcBorders>
              <w:tl2br w:val="nil"/>
              <w:tr2bl w:val="nil"/>
            </w:tcBorders>
            <w:noWrap w:val="0"/>
            <w:vAlign w:val="center"/>
          </w:tcPr>
          <w:p>
            <w:pPr>
              <w:pStyle w:val="92"/>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w:t>
            </w:r>
            <w:r>
              <w:rPr>
                <w:rFonts w:hint="default" w:ascii="Times New Roman" w:hAnsi="Times New Roman"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50</w:t>
            </w:r>
            <w:r>
              <w:rPr>
                <w:rFonts w:hint="default" w:ascii="Times New Roman" w:hAnsi="Times New Roman"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15</w:t>
            </w:r>
            <w:r>
              <w:rPr>
                <w:rFonts w:hint="default" w:ascii="Times New Roman" w:hAnsi="Times New Roman" w:cs="Times New Roman"/>
                <w:b w:val="0"/>
                <w:bCs w:val="0"/>
                <w:color w:val="auto"/>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363" w:hRule="atLeast"/>
          <w:jc w:val="center"/>
        </w:trPr>
        <w:tc>
          <w:tcPr>
            <w:tcW w:w="5000" w:type="pct"/>
            <w:gridSpan w:val="18"/>
            <w:tcBorders>
              <w:tl2br w:val="nil"/>
              <w:tr2bl w:val="nil"/>
            </w:tcBorders>
            <w:noWrap w:val="0"/>
            <w:vAlign w:val="center"/>
          </w:tcPr>
          <w:p>
            <w:pPr>
              <w:keepNext w:val="0"/>
              <w:keepLines w:val="0"/>
              <w:pageBreakBefore w:val="0"/>
              <w:widowControl/>
              <w:suppressLineNumbers w:val="0"/>
              <w:kinsoku/>
              <w:wordWrap/>
              <w:overflowPunct/>
              <w:topLinePunct w:val="0"/>
              <w:bidi w:val="0"/>
              <w:jc w:val="left"/>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有组织：</w:t>
            </w:r>
            <w:r>
              <w:rPr>
                <w:rFonts w:hint="default" w:ascii="Times New Roman" w:hAnsi="Times New Roman" w:eastAsia="宋体" w:cs="Times New Roman"/>
                <w:color w:val="auto"/>
                <w:kern w:val="0"/>
                <w:sz w:val="21"/>
                <w:szCs w:val="21"/>
                <w:highlight w:val="none"/>
                <w:lang w:val="en-US" w:eastAsia="zh-CN" w:bidi="ar"/>
              </w:rPr>
              <w:t>颗粒物</w:t>
            </w:r>
            <w:r>
              <w:rPr>
                <w:rFonts w:hint="eastAsia" w:cs="Times New Roman"/>
                <w:color w:val="auto"/>
                <w:kern w:val="0"/>
                <w:sz w:val="21"/>
                <w:szCs w:val="21"/>
                <w:highlight w:val="none"/>
                <w:lang w:val="en-US" w:eastAsia="zh-CN" w:bidi="ar"/>
              </w:rPr>
              <w:t>21.38</w:t>
            </w:r>
            <w:r>
              <w:rPr>
                <w:rFonts w:hint="default" w:ascii="Times New Roman" w:hAnsi="Times New Roman" w:eastAsia="宋体" w:cs="Times New Roman"/>
                <w:color w:val="auto"/>
                <w:kern w:val="0"/>
                <w:sz w:val="21"/>
                <w:szCs w:val="21"/>
                <w:highlight w:val="none"/>
                <w:lang w:val="en-US" w:eastAsia="zh-CN" w:bidi="ar"/>
              </w:rPr>
              <w:t>t/a</w:t>
            </w:r>
            <w:r>
              <w:rPr>
                <w:rFonts w:hint="default" w:ascii="Times New Roman" w:hAnsi="Times New Roman" w:cs="Times New Roman"/>
                <w:color w:val="auto"/>
                <w:kern w:val="0"/>
                <w:sz w:val="21"/>
                <w:szCs w:val="21"/>
                <w:highlight w:val="none"/>
                <w:lang w:val="en-US" w:eastAsia="zh-CN" w:bidi="ar"/>
              </w:rPr>
              <w:t>；无组织：颗粒物</w:t>
            </w:r>
            <w:r>
              <w:rPr>
                <w:rFonts w:hint="eastAsia" w:cs="Times New Roman"/>
                <w:color w:val="auto"/>
                <w:kern w:val="0"/>
                <w:sz w:val="21"/>
                <w:szCs w:val="21"/>
                <w:highlight w:val="none"/>
                <w:lang w:val="en-US" w:eastAsia="zh-CN" w:bidi="ar"/>
              </w:rPr>
              <w:t>3.24</w:t>
            </w:r>
            <w:r>
              <w:rPr>
                <w:rFonts w:hint="default" w:ascii="Times New Roman" w:hAnsi="Times New Roman" w:cs="Times New Roman"/>
                <w:color w:val="auto"/>
                <w:kern w:val="0"/>
                <w:sz w:val="21"/>
                <w:szCs w:val="21"/>
                <w:highlight w:val="none"/>
                <w:lang w:val="en-US" w:eastAsia="zh-CN" w:bidi="ar"/>
              </w:rPr>
              <w:t>t/a</w:t>
            </w:r>
          </w:p>
        </w:tc>
      </w:tr>
    </w:tbl>
    <w:p>
      <w:pPr>
        <w:pStyle w:val="43"/>
        <w:rPr>
          <w:rFonts w:hint="default" w:ascii="Times New Roman" w:hAnsi="Times New Roman" w:cs="Times New Roman"/>
          <w:color w:val="0000FF"/>
        </w:rPr>
        <w:sectPr>
          <w:pgSz w:w="16840" w:h="11907" w:orient="landscape"/>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9" w:type="dxa"/>
          </w:tcPr>
          <w:p>
            <w:pPr>
              <w:pStyle w:val="20"/>
              <w:keepNext w:val="0"/>
              <w:keepLines w:val="0"/>
              <w:pageBreakBefore w:val="0"/>
              <w:widowControl w:val="0"/>
              <w:kinsoku/>
              <w:wordWrap/>
              <w:overflowPunct/>
              <w:topLinePunct w:val="0"/>
              <w:autoSpaceDE/>
              <w:autoSpaceDN/>
              <w:bidi w:val="0"/>
              <w:adjustRightInd/>
              <w:snapToGrid/>
              <w:spacing w:before="182" w:beforeLines="50"/>
              <w:ind w:firstLine="480" w:firstLineChars="200"/>
              <w:jc w:val="left"/>
              <w:textAlignment w:val="auto"/>
              <w:rPr>
                <w:rFonts w:hint="default" w:ascii="Times New Roman" w:hAnsi="Times New Roman" w:cs="Times New Roman"/>
                <w:color w:val="auto"/>
                <w:sz w:val="24"/>
                <w:szCs w:val="24"/>
                <w:highlight w:val="none"/>
              </w:rPr>
            </w:pPr>
            <w:bookmarkStart w:id="208" w:name="_Toc7945"/>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）废气污染物排放量核算</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bookmarkStart w:id="209" w:name="_Toc11247"/>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 xml:space="preserve">  大气污染物有组织排放量核算表</w:t>
            </w:r>
            <w:bookmarkEnd w:id="209"/>
          </w:p>
          <w:tbl>
            <w:tblPr>
              <w:tblStyle w:val="33"/>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471"/>
              <w:gridCol w:w="1232"/>
              <w:gridCol w:w="1629"/>
              <w:gridCol w:w="2178"/>
              <w:gridCol w:w="2069"/>
              <w:gridCol w:w="148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679" w:type="pct"/>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tc>
              <w:tc>
                <w:tcPr>
                  <w:tcW w:w="899" w:type="pct"/>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202" w:type="pct"/>
                  <w:noWrap w:val="0"/>
                  <w:vAlign w:val="center"/>
                </w:tcPr>
                <w:p>
                  <w:pPr>
                    <w:pStyle w:val="71"/>
                    <w:kinsoku w:val="0"/>
                    <w:overflowPunct w:val="0"/>
                    <w:spacing w:line="240" w:lineRule="exact"/>
                    <w:jc w:val="center"/>
                    <w:rPr>
                      <w:rFonts w:hint="default" w:ascii="Times New Roman" w:hAnsi="Times New Roman" w:eastAsia="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核算排放浓度</w:t>
                  </w:r>
                  <w:r>
                    <w:rPr>
                      <w:rFonts w:hint="default" w:ascii="Times New Roman" w:hAnsi="Times New Roman" w:eastAsia="Times New Roman" w:cs="Times New Roman"/>
                      <w:color w:val="auto"/>
                      <w:sz w:val="21"/>
                      <w:szCs w:val="21"/>
                      <w:highlight w:val="none"/>
                      <w:lang w:eastAsia="zh-CN"/>
                    </w:rPr>
                    <w:t>/</w:t>
                  </w:r>
                </w:p>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（m</w:t>
                  </w:r>
                  <w:r>
                    <w:rPr>
                      <w:rFonts w:hint="default" w:ascii="Times New Roman" w:hAnsi="Times New Roman" w:eastAsia="Times New Roman" w:cs="Times New Roman"/>
                      <w:color w:val="auto"/>
                      <w:spacing w:val="-2"/>
                      <w:sz w:val="21"/>
                      <w:szCs w:val="21"/>
                      <w:highlight w:val="none"/>
                      <w:lang w:eastAsia="zh-CN"/>
                    </w:rPr>
                    <w:t>g</w:t>
                  </w:r>
                  <w:r>
                    <w:rPr>
                      <w:rFonts w:hint="default" w:ascii="Times New Roman" w:hAnsi="Times New Roman" w:eastAsia="Times New Roman" w:cs="Times New Roman"/>
                      <w:color w:val="auto"/>
                      <w:spacing w:val="2"/>
                      <w:sz w:val="21"/>
                      <w:szCs w:val="21"/>
                      <w:highlight w:val="none"/>
                      <w:lang w:eastAsia="zh-CN"/>
                    </w:rPr>
                    <w:t>/</w:t>
                  </w:r>
                  <w:r>
                    <w:rPr>
                      <w:rFonts w:hint="default" w:ascii="Times New Roman" w:hAnsi="Times New Roman" w:eastAsia="Times New Roman" w:cs="Times New Roman"/>
                      <w:color w:val="auto"/>
                      <w:spacing w:val="-3"/>
                      <w:sz w:val="21"/>
                      <w:szCs w:val="21"/>
                      <w:highlight w:val="none"/>
                      <w:lang w:eastAsia="zh-CN"/>
                    </w:rPr>
                    <w:t>m</w:t>
                  </w:r>
                  <w:r>
                    <w:rPr>
                      <w:rFonts w:hint="default" w:ascii="Times New Roman" w:hAnsi="Times New Roman" w:cs="Times New Roman"/>
                      <w:color w:val="auto"/>
                      <w:spacing w:val="-3"/>
                      <w:sz w:val="21"/>
                      <w:szCs w:val="21"/>
                      <w:highlight w:val="none"/>
                      <w:vertAlign w:val="superscript"/>
                      <w:lang w:eastAsia="zh-CN"/>
                    </w:rPr>
                    <w:t>3</w:t>
                  </w:r>
                  <w:r>
                    <w:rPr>
                      <w:rFonts w:hint="default" w:ascii="Times New Roman" w:hAnsi="Times New Roman" w:cs="Times New Roman"/>
                      <w:color w:val="auto"/>
                      <w:sz w:val="21"/>
                      <w:szCs w:val="21"/>
                      <w:highlight w:val="none"/>
                      <w:lang w:eastAsia="zh-CN"/>
                    </w:rPr>
                    <w:t>）</w:t>
                  </w:r>
                </w:p>
              </w:tc>
              <w:tc>
                <w:tcPr>
                  <w:tcW w:w="1142" w:type="pct"/>
                  <w:noWrap w:val="0"/>
                  <w:vAlign w:val="center"/>
                </w:tcPr>
                <w:p>
                  <w:pPr>
                    <w:pStyle w:val="71"/>
                    <w:kinsoku w:val="0"/>
                    <w:overflowPunct w:val="0"/>
                    <w:spacing w:line="240" w:lineRule="exact"/>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核算排放速率</w:t>
                  </w:r>
                  <w:r>
                    <w:rPr>
                      <w:rFonts w:hint="default" w:ascii="Times New Roman" w:hAnsi="Times New Roman" w:eastAsia="Times New Roman" w:cs="Times New Roman"/>
                      <w:color w:val="auto"/>
                      <w:sz w:val="21"/>
                      <w:szCs w:val="21"/>
                      <w:highlight w:val="none"/>
                    </w:rPr>
                    <w:t>/</w:t>
                  </w:r>
                </w:p>
                <w:p>
                  <w:pPr>
                    <w:pStyle w:val="71"/>
                    <w:kinsoku w:val="0"/>
                    <w:overflowPunct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pacing w:val="-2"/>
                      <w:sz w:val="21"/>
                      <w:szCs w:val="21"/>
                      <w:highlight w:val="none"/>
                    </w:rPr>
                    <w:t>kg</w:t>
                  </w:r>
                  <w:r>
                    <w:rPr>
                      <w:rFonts w:hint="default" w:ascii="Times New Roman" w:hAnsi="Times New Roman" w:eastAsia="Times New Roman" w:cs="Times New Roman"/>
                      <w:color w:val="auto"/>
                      <w:sz w:val="21"/>
                      <w:szCs w:val="21"/>
                      <w:highlight w:val="none"/>
                    </w:rPr>
                    <w:t>/</w:t>
                  </w:r>
                  <w:r>
                    <w:rPr>
                      <w:rFonts w:hint="default" w:ascii="Times New Roman" w:hAnsi="Times New Roman" w:eastAsia="Times New Roman" w:cs="Times New Roman"/>
                      <w:color w:val="auto"/>
                      <w:spacing w:val="2"/>
                      <w:sz w:val="21"/>
                      <w:szCs w:val="21"/>
                      <w:highlight w:val="none"/>
                    </w:rPr>
                    <w:t>h</w:t>
                  </w:r>
                  <w:r>
                    <w:rPr>
                      <w:rFonts w:hint="default" w:ascii="Times New Roman" w:hAnsi="Times New Roman" w:cs="Times New Roman"/>
                      <w:color w:val="auto"/>
                      <w:sz w:val="21"/>
                      <w:szCs w:val="21"/>
                      <w:highlight w:val="none"/>
                    </w:rPr>
                    <w:t>）</w:t>
                  </w:r>
                </w:p>
              </w:tc>
              <w:tc>
                <w:tcPr>
                  <w:tcW w:w="815" w:type="pct"/>
                  <w:noWrap w:val="0"/>
                  <w:vAlign w:val="center"/>
                </w:tcPr>
                <w:p>
                  <w:pPr>
                    <w:pStyle w:val="71"/>
                    <w:kinsoku w:val="0"/>
                    <w:overflowPunct w:val="0"/>
                    <w:spacing w:line="240" w:lineRule="exact"/>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核算年排放量</w:t>
                  </w:r>
                  <w:r>
                    <w:rPr>
                      <w:rFonts w:hint="default" w:ascii="Times New Roman" w:hAnsi="Times New Roman" w:eastAsia="Times New Roman" w:cs="Times New Roman"/>
                      <w:color w:val="auto"/>
                      <w:sz w:val="21"/>
                      <w:szCs w:val="21"/>
                      <w:highlight w:val="none"/>
                    </w:rPr>
                    <w:t>/</w:t>
                  </w:r>
                </w:p>
                <w:p>
                  <w:pPr>
                    <w:pStyle w:val="71"/>
                    <w:kinsoku w:val="0"/>
                    <w:overflowPunct w:val="0"/>
                    <w:spacing w:line="24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rPr>
                    <w:t>t/</w:t>
                  </w:r>
                  <w:r>
                    <w:rPr>
                      <w:rFonts w:hint="default" w:ascii="Times New Roman" w:hAnsi="Times New Roman" w:eastAsia="Times New Roman" w:cs="Times New Roman"/>
                      <w:color w:val="auto"/>
                      <w:spacing w:val="-1"/>
                      <w:sz w:val="21"/>
                      <w:szCs w:val="21"/>
                      <w:highlight w:val="none"/>
                    </w:rPr>
                    <w:t>a</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一般排放口</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0" w:type="pct"/>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w:t>
                  </w:r>
                </w:p>
              </w:tc>
              <w:tc>
                <w:tcPr>
                  <w:tcW w:w="679" w:type="pct"/>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DA0</w:t>
                  </w:r>
                  <w:r>
                    <w:rPr>
                      <w:rFonts w:hint="eastAsia" w:cs="Times New Roman"/>
                      <w:color w:val="auto"/>
                      <w:szCs w:val="21"/>
                      <w:highlight w:val="none"/>
                      <w:lang w:val="en-US" w:eastAsia="zh-CN"/>
                    </w:rPr>
                    <w:t>03</w:t>
                  </w:r>
                </w:p>
              </w:tc>
              <w:tc>
                <w:tcPr>
                  <w:tcW w:w="899" w:type="pct"/>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1202" w:type="pct"/>
                  <w:noWrap w:val="0"/>
                  <w:vAlign w:val="center"/>
                </w:tcPr>
                <w:p>
                  <w:pPr>
                    <w:spacing w:line="240" w:lineRule="exac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11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kern w:val="0"/>
                      <w:sz w:val="21"/>
                      <w:szCs w:val="21"/>
                      <w:highlight w:val="none"/>
                      <w:lang w:val="en-US" w:eastAsia="zh-CN" w:bidi="ar"/>
                    </w:rPr>
                    <w:t>3</w:t>
                  </w:r>
                </w:p>
              </w:tc>
              <w:tc>
                <w:tcPr>
                  <w:tcW w:w="81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0" w:type="pct"/>
                  <w:gridSpan w:val="2"/>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一般排放口合计</w:t>
                  </w:r>
                </w:p>
              </w:tc>
              <w:tc>
                <w:tcPr>
                  <w:tcW w:w="3243" w:type="pct"/>
                  <w:gridSpan w:val="3"/>
                  <w:noWrap w:val="0"/>
                  <w:vAlign w:val="center"/>
                </w:tcPr>
                <w:p>
                  <w:pPr>
                    <w:pStyle w:val="71"/>
                    <w:kinsoku w:val="0"/>
                    <w:overflowPunct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颗粒物</w:t>
                  </w:r>
                </w:p>
              </w:tc>
              <w:tc>
                <w:tcPr>
                  <w:tcW w:w="81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lang w:val="en-US" w:eastAsia="zh-CN" w:bidi="ar"/>
                    </w:rPr>
                    <w:t>21.38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有组织排放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40" w:type="pct"/>
                  <w:gridSpan w:val="2"/>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有组织排放总计</w:t>
                  </w:r>
                </w:p>
              </w:tc>
              <w:tc>
                <w:tcPr>
                  <w:tcW w:w="3243" w:type="pct"/>
                  <w:gridSpan w:val="3"/>
                  <w:noWrap w:val="0"/>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81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21.38</w:t>
                  </w:r>
                </w:p>
              </w:tc>
            </w:tr>
            <w:bookmarkEnd w:id="208"/>
          </w:tbl>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bookmarkStart w:id="210" w:name="_Toc15963"/>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大气污染物无组织排放量核算表</w:t>
            </w:r>
            <w:bookmarkEnd w:id="210"/>
          </w:p>
          <w:tbl>
            <w:tblPr>
              <w:tblStyle w:val="33"/>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421"/>
              <w:gridCol w:w="691"/>
              <w:gridCol w:w="881"/>
              <w:gridCol w:w="939"/>
              <w:gridCol w:w="948"/>
              <w:gridCol w:w="2631"/>
              <w:gridCol w:w="1120"/>
              <w:gridCol w:w="14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3" w:type="pct"/>
                  <w:vMerge w:val="restar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382" w:type="pct"/>
                  <w:vMerge w:val="restar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tc>
              <w:tc>
                <w:tcPr>
                  <w:tcW w:w="486" w:type="pct"/>
                  <w:vMerge w:val="restar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w:t>
                  </w:r>
                </w:p>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环节</w:t>
                  </w:r>
                </w:p>
              </w:tc>
              <w:tc>
                <w:tcPr>
                  <w:tcW w:w="517" w:type="pct"/>
                  <w:vMerge w:val="restar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523" w:type="pct"/>
                  <w:vMerge w:val="restar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主要污染防治措施</w:t>
                  </w:r>
                </w:p>
              </w:tc>
              <w:tc>
                <w:tcPr>
                  <w:tcW w:w="2070" w:type="pct"/>
                  <w:gridSpan w:val="2"/>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国家或地方污染物排放标准</w:t>
                  </w:r>
                </w:p>
              </w:tc>
              <w:tc>
                <w:tcPr>
                  <w:tcW w:w="786" w:type="pct"/>
                  <w:vMerge w:val="restar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年排放量</w:t>
                  </w:r>
                  <w:r>
                    <w:rPr>
                      <w:rFonts w:hint="default" w:ascii="Times New Roman" w:hAnsi="Times New Roman" w:eastAsia="Times New Roman" w:cs="Times New Roman"/>
                      <w:color w:val="auto"/>
                      <w:sz w:val="21"/>
                      <w:szCs w:val="21"/>
                      <w:highlight w:val="none"/>
                    </w:rPr>
                    <w:t>/</w:t>
                  </w:r>
                </w:p>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rPr>
                    <w:t>t/</w:t>
                  </w:r>
                  <w:r>
                    <w:rPr>
                      <w:rFonts w:hint="default" w:ascii="Times New Roman" w:hAnsi="Times New Roman" w:eastAsia="Times New Roman" w:cs="Times New Roman"/>
                      <w:color w:val="auto"/>
                      <w:spacing w:val="-1"/>
                      <w:sz w:val="21"/>
                      <w:szCs w:val="21"/>
                      <w:highlight w:val="none"/>
                    </w:rPr>
                    <w:t>a</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3" w:type="pct"/>
                  <w:vMerge w:val="continue"/>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p>
              </w:tc>
              <w:tc>
                <w:tcPr>
                  <w:tcW w:w="382" w:type="pct"/>
                  <w:vMerge w:val="continue"/>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p>
              </w:tc>
              <w:tc>
                <w:tcPr>
                  <w:tcW w:w="486" w:type="pct"/>
                  <w:vMerge w:val="continue"/>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p>
              </w:tc>
              <w:tc>
                <w:tcPr>
                  <w:tcW w:w="517" w:type="pct"/>
                  <w:vMerge w:val="continue"/>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p>
              </w:tc>
              <w:tc>
                <w:tcPr>
                  <w:tcW w:w="523" w:type="pct"/>
                  <w:vMerge w:val="continue"/>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452" w:type="pc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标准名称</w:t>
                  </w:r>
                </w:p>
              </w:tc>
              <w:tc>
                <w:tcPr>
                  <w:tcW w:w="618" w:type="pct"/>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浓度限值</w:t>
                  </w:r>
                  <w:r>
                    <w:rPr>
                      <w:rFonts w:hint="default" w:ascii="Times New Roman" w:hAnsi="Times New Roman" w:eastAsia="Times New Roman" w:cs="Times New Roman"/>
                      <w:color w:val="auto"/>
                      <w:sz w:val="21"/>
                      <w:szCs w:val="21"/>
                      <w:highlight w:val="none"/>
                    </w:rPr>
                    <w:t>/</w:t>
                  </w:r>
                </w:p>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m</w:t>
                  </w:r>
                  <w:r>
                    <w:rPr>
                      <w:rFonts w:hint="default" w:ascii="Times New Roman" w:hAnsi="Times New Roman" w:eastAsia="Times New Roman" w:cs="Times New Roman"/>
                      <w:color w:val="auto"/>
                      <w:spacing w:val="-2"/>
                      <w:sz w:val="21"/>
                      <w:szCs w:val="21"/>
                      <w:highlight w:val="none"/>
                    </w:rPr>
                    <w:t>g</w:t>
                  </w:r>
                  <w:r>
                    <w:rPr>
                      <w:rFonts w:hint="default" w:ascii="Times New Roman" w:hAnsi="Times New Roman" w:eastAsia="Times New Roman" w:cs="Times New Roman"/>
                      <w:color w:val="auto"/>
                      <w:spacing w:val="2"/>
                      <w:sz w:val="21"/>
                      <w:szCs w:val="21"/>
                      <w:highlight w:val="none"/>
                    </w:rPr>
                    <w:t>/</w:t>
                  </w:r>
                  <w:r>
                    <w:rPr>
                      <w:rFonts w:hint="default" w:ascii="Times New Roman" w:hAnsi="Times New Roman" w:eastAsia="Times New Roman" w:cs="Times New Roman"/>
                      <w:color w:val="auto"/>
                      <w:spacing w:val="-3"/>
                      <w:sz w:val="21"/>
                      <w:szCs w:val="21"/>
                      <w:highlight w:val="none"/>
                    </w:rPr>
                    <w:t>m</w:t>
                  </w:r>
                  <w:r>
                    <w:rPr>
                      <w:rFonts w:hint="default" w:ascii="Times New Roman" w:hAnsi="Times New Roman" w:cs="Times New Roman"/>
                      <w:color w:val="auto"/>
                      <w:spacing w:val="-3"/>
                      <w:sz w:val="21"/>
                      <w:szCs w:val="21"/>
                      <w:highlight w:val="none"/>
                      <w:vertAlign w:val="superscript"/>
                      <w:lang w:eastAsia="zh-CN"/>
                    </w:rPr>
                    <w:t>3</w:t>
                  </w:r>
                  <w:r>
                    <w:rPr>
                      <w:rFonts w:hint="default" w:ascii="Times New Roman" w:hAnsi="Times New Roman" w:cs="Times New Roman"/>
                      <w:color w:val="auto"/>
                      <w:sz w:val="21"/>
                      <w:szCs w:val="21"/>
                      <w:highlight w:val="none"/>
                    </w:rPr>
                    <w:t>）</w:t>
                  </w:r>
                </w:p>
              </w:tc>
              <w:tc>
                <w:tcPr>
                  <w:tcW w:w="786" w:type="pct"/>
                  <w:vMerge w:val="continue"/>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3" w:type="pct"/>
                  <w:noWrap w:val="0"/>
                  <w:vAlign w:val="center"/>
                </w:tcPr>
                <w:p>
                  <w:pPr>
                    <w:keepNext w:val="0"/>
                    <w:keepLines w:val="0"/>
                    <w:pageBreakBefore w:val="0"/>
                    <w:widowControl w:val="0"/>
                    <w:wordWrap/>
                    <w:topLinePunct w:val="0"/>
                    <w:autoSpaceDE/>
                    <w:autoSpaceDN/>
                    <w:bidi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382" w:type="pct"/>
                  <w:noWrap w:val="0"/>
                  <w:vAlign w:val="center"/>
                </w:tcPr>
                <w:p>
                  <w:pPr>
                    <w:keepNext w:val="0"/>
                    <w:keepLines w:val="0"/>
                    <w:pageBreakBefore w:val="0"/>
                    <w:widowControl w:val="0"/>
                    <w:wordWrap/>
                    <w:topLinePunct w:val="0"/>
                    <w:autoSpaceDE/>
                    <w:autoSpaceDN/>
                    <w:bidi w:val="0"/>
                    <w:snapToGrid w:val="0"/>
                    <w:spacing w:line="240" w:lineRule="auto"/>
                    <w:jc w:val="center"/>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w:t>
                  </w:r>
                </w:p>
              </w:tc>
              <w:tc>
                <w:tcPr>
                  <w:tcW w:w="486" w:type="pct"/>
                  <w:noWrap w:val="0"/>
                  <w:vAlign w:val="center"/>
                </w:tcPr>
                <w:p>
                  <w:pPr>
                    <w:keepNext w:val="0"/>
                    <w:keepLines w:val="0"/>
                    <w:pageBreakBefore w:val="0"/>
                    <w:widowControl w:val="0"/>
                    <w:wordWrap/>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破碎、筛分、搅拌和皮带传送过程</w:t>
                  </w:r>
                  <w:r>
                    <w:rPr>
                      <w:rFonts w:hint="eastAsia" w:cs="Times New Roman"/>
                      <w:color w:val="auto"/>
                      <w:sz w:val="21"/>
                      <w:szCs w:val="21"/>
                      <w:highlight w:val="none"/>
                      <w:lang w:val="en-US" w:eastAsia="zh-CN"/>
                    </w:rPr>
                    <w:t>及堆场</w:t>
                  </w:r>
                </w:p>
              </w:tc>
              <w:tc>
                <w:tcPr>
                  <w:tcW w:w="517" w:type="pct"/>
                  <w:noWrap w:val="0"/>
                  <w:vAlign w:val="center"/>
                </w:tcPr>
                <w:p>
                  <w:pPr>
                    <w:keepNext w:val="0"/>
                    <w:keepLines w:val="0"/>
                    <w:pageBreakBefore w:val="0"/>
                    <w:widowControl w:val="0"/>
                    <w:wordWrap/>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颗粒物</w:t>
                  </w:r>
                </w:p>
              </w:tc>
              <w:tc>
                <w:tcPr>
                  <w:tcW w:w="523" w:type="pct"/>
                  <w:noWrap w:val="0"/>
                  <w:vAlign w:val="center"/>
                </w:tcPr>
                <w:p>
                  <w:pPr>
                    <w:keepNext w:val="0"/>
                    <w:keepLines w:val="0"/>
                    <w:pageBreakBefore w:val="0"/>
                    <w:widowControl w:val="0"/>
                    <w:wordWrap/>
                    <w:topLinePunct w:val="0"/>
                    <w:autoSpaceDE/>
                    <w:autoSpaceDN/>
                    <w:bidi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加强车间通风，洒水抑尘</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lang w:val="en-US" w:eastAsia="zh-CN"/>
                    </w:rPr>
                    <w:t>运输过程使用车载篷布遮盖。</w:t>
                  </w:r>
                </w:p>
              </w:tc>
              <w:tc>
                <w:tcPr>
                  <w:tcW w:w="1452" w:type="pct"/>
                  <w:noWrap w:val="0"/>
                  <w:vAlign w:val="center"/>
                </w:tcPr>
                <w:p>
                  <w:pPr>
                    <w:keepNext w:val="0"/>
                    <w:keepLines w:val="0"/>
                    <w:pageBreakBefore w:val="0"/>
                    <w:widowControl w:val="0"/>
                    <w:wordWrap/>
                    <w:topLinePunct w:val="0"/>
                    <w:autoSpaceDE/>
                    <w:autoSpaceDN/>
                    <w:bidi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GB16297-1996《大气污染物综合排放标准》表2中二级标准</w:t>
                  </w:r>
                </w:p>
              </w:tc>
              <w:tc>
                <w:tcPr>
                  <w:tcW w:w="618" w:type="pct"/>
                  <w:noWrap w:val="0"/>
                  <w:vAlign w:val="center"/>
                </w:tcPr>
                <w:p>
                  <w:pPr>
                    <w:keepNext w:val="0"/>
                    <w:keepLines w:val="0"/>
                    <w:pageBreakBefore w:val="0"/>
                    <w:widowControl w:val="0"/>
                    <w:wordWrap/>
                    <w:topLinePunct w:val="0"/>
                    <w:autoSpaceDE/>
                    <w:autoSpaceDN/>
                    <w:bidi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786" w:type="pct"/>
                  <w:noWrap w:val="0"/>
                  <w:vAlign w:val="center"/>
                </w:tcPr>
                <w:p>
                  <w:pPr>
                    <w:keepNext w:val="0"/>
                    <w:keepLines w:val="0"/>
                    <w:pageBreakBefore w:val="0"/>
                    <w:widowControl w:val="0"/>
                    <w:wordWrap/>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lang w:val="en-US"/>
                    </w:rPr>
                  </w:pPr>
                  <w:r>
                    <w:rPr>
                      <w:rFonts w:hint="eastAsia" w:cs="Times New Roman"/>
                      <w:color w:val="auto"/>
                      <w:sz w:val="21"/>
                      <w:szCs w:val="21"/>
                      <w:highlight w:val="none"/>
                      <w:lang w:val="en-US" w:eastAsia="zh-CN"/>
                    </w:rPr>
                    <w:t>3.24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8"/>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无组织排放</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19" w:type="pct"/>
                  <w:gridSpan w:val="4"/>
                  <w:noWrap w:val="0"/>
                  <w:vAlign w:val="center"/>
                </w:tcPr>
                <w:p>
                  <w:pPr>
                    <w:keepNext w:val="0"/>
                    <w:keepLines w:val="0"/>
                    <w:pageBreakBefore w:val="0"/>
                    <w:widowControl w:val="0"/>
                    <w:wordWrap/>
                    <w:topLinePunct w:val="0"/>
                    <w:autoSpaceDE/>
                    <w:autoSpaceDN/>
                    <w:bidi w:val="0"/>
                    <w:snapToGrid w:val="0"/>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无组织排放总计</w:t>
                  </w:r>
                </w:p>
              </w:tc>
              <w:tc>
                <w:tcPr>
                  <w:tcW w:w="1975" w:type="pct"/>
                  <w:gridSpan w:val="2"/>
                  <w:noWrap w:val="0"/>
                  <w:vAlign w:val="center"/>
                </w:tcPr>
                <w:p>
                  <w:pPr>
                    <w:pStyle w:val="71"/>
                    <w:keepNext w:val="0"/>
                    <w:keepLines w:val="0"/>
                    <w:pageBreakBefore w:val="0"/>
                    <w:widowControl w:val="0"/>
                    <w:kinsoku w:val="0"/>
                    <w:wordWrap/>
                    <w:overflowPunct w:val="0"/>
                    <w:topLinePunct w:val="0"/>
                    <w:autoSpaceDE/>
                    <w:autoSpaceDN/>
                    <w:bidi w:val="0"/>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1405" w:type="pct"/>
                  <w:gridSpan w:val="2"/>
                  <w:noWrap w:val="0"/>
                  <w:vAlign w:val="center"/>
                </w:tcPr>
                <w:p>
                  <w:pPr>
                    <w:keepNext w:val="0"/>
                    <w:keepLines w:val="0"/>
                    <w:pageBreakBefore w:val="0"/>
                    <w:widowControl w:val="0"/>
                    <w:wordWrap/>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3.24</w:t>
                  </w: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bookmarkStart w:id="211" w:name="C.6.3 项目大气污染物年排放量核算"/>
            <w:bookmarkEnd w:id="211"/>
            <w:bookmarkStart w:id="212" w:name="bookmark90"/>
            <w:bookmarkEnd w:id="212"/>
            <w:bookmarkStart w:id="213" w:name="_Toc27706"/>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大气污染物年排放量核算表</w:t>
            </w:r>
            <w:bookmarkEnd w:id="213"/>
          </w:p>
          <w:tbl>
            <w:tblPr>
              <w:tblStyle w:val="33"/>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272"/>
              <w:gridCol w:w="3169"/>
              <w:gridCol w:w="461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2"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类型</w:t>
                  </w:r>
                </w:p>
              </w:tc>
              <w:tc>
                <w:tcPr>
                  <w:tcW w:w="1749"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污染物</w:t>
                  </w:r>
                </w:p>
              </w:tc>
              <w:tc>
                <w:tcPr>
                  <w:tcW w:w="2548"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年排放量</w:t>
                  </w:r>
                  <w:r>
                    <w:rPr>
                      <w:rFonts w:hint="default" w:ascii="Times New Roman" w:hAnsi="Times New Roman" w:eastAsia="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lang w:eastAsia="zh-CN"/>
                    </w:rPr>
                    <w:t>t/</w:t>
                  </w:r>
                  <w:r>
                    <w:rPr>
                      <w:rFonts w:hint="default" w:ascii="Times New Roman" w:hAnsi="Times New Roman" w:eastAsia="Times New Roman" w:cs="Times New Roman"/>
                      <w:color w:val="auto"/>
                      <w:spacing w:val="-1"/>
                      <w:sz w:val="21"/>
                      <w:szCs w:val="21"/>
                      <w:highlight w:val="none"/>
                      <w:lang w:eastAsia="zh-CN"/>
                    </w:rPr>
                    <w:t>a</w:t>
                  </w:r>
                  <w:r>
                    <w:rPr>
                      <w:rFonts w:hint="default" w:ascii="Times New Roman" w:hAnsi="Times New Roman"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2"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有组织排放</w:t>
                  </w:r>
                </w:p>
              </w:tc>
              <w:tc>
                <w:tcPr>
                  <w:tcW w:w="1749"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2548" w:type="pct"/>
                  <w:noWrap w:val="0"/>
                  <w:tcMar>
                    <w:top w:w="0" w:type="dxa"/>
                    <w:left w:w="0" w:type="dxa"/>
                    <w:bottom w:w="0" w:type="dxa"/>
                    <w:right w:w="0" w:type="dxa"/>
                  </w:tcMar>
                  <w:vAlign w:val="center"/>
                </w:tcPr>
                <w:p>
                  <w:pPr>
                    <w:spacing w:line="240" w:lineRule="exact"/>
                    <w:jc w:val="center"/>
                    <w:rPr>
                      <w:rFonts w:hint="default" w:ascii="Times New Roman" w:hAnsi="Times New Roman" w:cs="Times New Roman"/>
                      <w:color w:val="auto"/>
                      <w:szCs w:val="21"/>
                      <w:highlight w:val="none"/>
                      <w:lang w:val="en-US"/>
                    </w:rPr>
                  </w:pPr>
                  <w:r>
                    <w:rPr>
                      <w:rFonts w:hint="eastAsia" w:cs="Times New Roman"/>
                      <w:color w:val="auto"/>
                      <w:szCs w:val="21"/>
                      <w:highlight w:val="none"/>
                      <w:lang w:val="en-US" w:eastAsia="zh-CN"/>
                    </w:rPr>
                    <w:t>21.38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02"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无组织排放</w:t>
                  </w:r>
                </w:p>
              </w:tc>
              <w:tc>
                <w:tcPr>
                  <w:tcW w:w="1749"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2548" w:type="pct"/>
                  <w:noWrap w:val="0"/>
                  <w:tcMar>
                    <w:top w:w="0" w:type="dxa"/>
                    <w:left w:w="0" w:type="dxa"/>
                    <w:bottom w:w="0" w:type="dxa"/>
                    <w:right w:w="0" w:type="dxa"/>
                  </w:tcMar>
                  <w:vAlign w:val="center"/>
                </w:tcPr>
                <w:p>
                  <w:pPr>
                    <w:pStyle w:val="71"/>
                    <w:kinsoku w:val="0"/>
                    <w:overflowPunct w:val="0"/>
                    <w:spacing w:line="240" w:lineRule="exact"/>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3.24</w:t>
                  </w: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 xml:space="preserve">  大气排放口基本情况表</w:t>
            </w:r>
          </w:p>
          <w:tbl>
            <w:tblPr>
              <w:tblStyle w:val="33"/>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307"/>
              <w:gridCol w:w="2356"/>
              <w:gridCol w:w="1347"/>
              <w:gridCol w:w="1153"/>
              <w:gridCol w:w="109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pct"/>
                  <w:vMerge w:val="restart"/>
                  <w:noWrap w:val="0"/>
                  <w:tcMar>
                    <w:top w:w="0" w:type="dxa"/>
                    <w:left w:w="0" w:type="dxa"/>
                    <w:bottom w:w="0" w:type="dxa"/>
                    <w:right w:w="0" w:type="dxa"/>
                  </w:tcMar>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序号</w:t>
                  </w:r>
                </w:p>
              </w:tc>
              <w:tc>
                <w:tcPr>
                  <w:tcW w:w="721" w:type="pct"/>
                  <w:vMerge w:val="restar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排放口编号</w:t>
                  </w:r>
                </w:p>
              </w:tc>
              <w:tc>
                <w:tcPr>
                  <w:tcW w:w="1300" w:type="pct"/>
                  <w:vMerge w:val="restar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污染物种类</w:t>
                  </w:r>
                </w:p>
              </w:tc>
              <w:tc>
                <w:tcPr>
                  <w:tcW w:w="1379" w:type="pct"/>
                  <w:gridSpan w:val="2"/>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排放口地理坐标</w:t>
                  </w:r>
                </w:p>
              </w:tc>
              <w:tc>
                <w:tcPr>
                  <w:tcW w:w="605" w:type="pct"/>
                  <w:vMerge w:val="restar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排气筒高度（m）</w:t>
                  </w:r>
                </w:p>
              </w:tc>
              <w:tc>
                <w:tcPr>
                  <w:tcW w:w="732" w:type="pct"/>
                  <w:vMerge w:val="restar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排气筒出口内径（m）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pct"/>
                  <w:vMerge w:val="continue"/>
                  <w:noWrap w:val="0"/>
                  <w:tcMar>
                    <w:top w:w="0" w:type="dxa"/>
                    <w:left w:w="0" w:type="dxa"/>
                    <w:bottom w:w="0" w:type="dxa"/>
                    <w:right w:w="0" w:type="dxa"/>
                  </w:tcMar>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p>
              </w:tc>
              <w:tc>
                <w:tcPr>
                  <w:tcW w:w="721" w:type="pct"/>
                  <w:vMerge w:val="continue"/>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p>
              </w:tc>
              <w:tc>
                <w:tcPr>
                  <w:tcW w:w="1300" w:type="pct"/>
                  <w:vMerge w:val="continue"/>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p>
              </w:tc>
              <w:tc>
                <w:tcPr>
                  <w:tcW w:w="743"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经度</w:t>
                  </w:r>
                </w:p>
              </w:tc>
              <w:tc>
                <w:tcPr>
                  <w:tcW w:w="635"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纬度</w:t>
                  </w:r>
                </w:p>
              </w:tc>
              <w:tc>
                <w:tcPr>
                  <w:tcW w:w="605" w:type="pct"/>
                  <w:vMerge w:val="continue"/>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FF"/>
                      <w:sz w:val="21"/>
                      <w:szCs w:val="21"/>
                      <w:highlight w:val="none"/>
                      <w:lang w:eastAsia="zh-CN"/>
                    </w:rPr>
                  </w:pPr>
                </w:p>
              </w:tc>
              <w:tc>
                <w:tcPr>
                  <w:tcW w:w="732" w:type="pct"/>
                  <w:vMerge w:val="continue"/>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0000FF"/>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 w:type="pct"/>
                  <w:noWrap w:val="0"/>
                  <w:tcMar>
                    <w:top w:w="0" w:type="dxa"/>
                    <w:left w:w="0" w:type="dxa"/>
                    <w:bottom w:w="0" w:type="dxa"/>
                    <w:right w:w="0" w:type="dxa"/>
                  </w:tcMar>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721"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DA</w:t>
                  </w: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03</w:t>
                  </w:r>
                </w:p>
              </w:tc>
              <w:tc>
                <w:tcPr>
                  <w:tcW w:w="1300"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颗粒物</w:t>
                  </w:r>
                </w:p>
              </w:tc>
              <w:tc>
                <w:tcPr>
                  <w:tcW w:w="743"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rPr>
                    <w:t>119.71811</w:t>
                  </w:r>
                </w:p>
              </w:tc>
              <w:tc>
                <w:tcPr>
                  <w:tcW w:w="635"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黑体" w:cs="Times New Roman"/>
                      <w:color w:val="auto"/>
                      <w:sz w:val="21"/>
                      <w:szCs w:val="21"/>
                      <w:highlight w:val="none"/>
                      <w:lang w:val="en-US" w:eastAsia="zh-CN"/>
                    </w:rPr>
                    <w:t>26.79419</w:t>
                  </w:r>
                </w:p>
              </w:tc>
              <w:tc>
                <w:tcPr>
                  <w:tcW w:w="605"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15</w:t>
                  </w:r>
                </w:p>
              </w:tc>
              <w:tc>
                <w:tcPr>
                  <w:tcW w:w="732" w:type="pct"/>
                  <w:noWrap w:val="0"/>
                  <w:vAlign w:val="center"/>
                </w:tcPr>
                <w:p>
                  <w:pPr>
                    <w:pStyle w:val="71"/>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w:t>
                  </w:r>
                </w:p>
              </w:tc>
            </w:tr>
          </w:tbl>
          <w:p>
            <w:pPr>
              <w:pStyle w:val="6"/>
              <w:keepNext/>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rPr>
              <w:t>4.2.1.2  环境影响分析</w:t>
            </w:r>
            <w:r>
              <w:rPr>
                <w:rFonts w:hint="default" w:ascii="Times New Roman" w:hAnsi="Times New Roman" w:eastAsia="宋体" w:cs="Times New Roman"/>
                <w:b/>
                <w:bCs/>
                <w:color w:val="auto"/>
                <w:kern w:val="0"/>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val="0"/>
                <w:color w:val="auto"/>
                <w:kern w:val="2"/>
                <w:sz w:val="24"/>
                <w:szCs w:val="24"/>
                <w:highlight w:val="none"/>
                <w:u w:val="none" w:color="auto"/>
                <w:lang w:val="en-US" w:eastAsia="zh-CN" w:bidi="ar"/>
              </w:rPr>
              <w:t>（1）</w:t>
            </w:r>
            <w:r>
              <w:rPr>
                <w:rFonts w:hint="default" w:ascii="Times New Roman" w:hAnsi="Times New Roman" w:eastAsia="宋体" w:cs="Times New Roman"/>
                <w:b/>
                <w:bCs w:val="0"/>
                <w:color w:val="auto"/>
                <w:kern w:val="2"/>
                <w:sz w:val="24"/>
                <w:szCs w:val="24"/>
                <w:highlight w:val="none"/>
                <w:u w:val="none" w:color="auto"/>
                <w:lang w:val="en-US" w:eastAsia="zh-CN" w:bidi="ar"/>
              </w:rPr>
              <w:t>正常工况排污分析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lang w:val="en-US" w:eastAsia="zh-CN"/>
              </w:rPr>
            </w:pPr>
            <w:r>
              <w:rPr>
                <w:rFonts w:hint="eastAsia" w:cs="Times New Roman"/>
                <w:color w:val="auto"/>
                <w:sz w:val="24"/>
                <w:szCs w:val="22"/>
                <w:highlight w:val="none"/>
                <w:lang w:val="en-US" w:eastAsia="zh-CN"/>
              </w:rPr>
              <w:t>技改</w:t>
            </w:r>
            <w:r>
              <w:rPr>
                <w:rFonts w:hint="default" w:ascii="Times New Roman" w:hAnsi="Times New Roman" w:cs="Times New Roman"/>
                <w:color w:val="auto"/>
                <w:sz w:val="24"/>
                <w:szCs w:val="22"/>
                <w:highlight w:val="none"/>
                <w:lang w:eastAsia="zh-CN"/>
              </w:rPr>
              <w:t>项目废气</w:t>
            </w:r>
            <w:r>
              <w:rPr>
                <w:rFonts w:hint="default" w:ascii="Times New Roman" w:hAnsi="Times New Roman" w:cs="Times New Roman"/>
                <w:color w:val="auto"/>
                <w:sz w:val="24"/>
                <w:szCs w:val="22"/>
                <w:highlight w:val="none"/>
                <w:lang w:val="en-US" w:eastAsia="zh-CN"/>
              </w:rPr>
              <w:t>各自</w:t>
            </w:r>
            <w:r>
              <w:rPr>
                <w:rFonts w:hint="eastAsia" w:cs="Times New Roman"/>
                <w:color w:val="auto"/>
                <w:sz w:val="24"/>
                <w:szCs w:val="22"/>
                <w:highlight w:val="none"/>
                <w:lang w:val="en-US" w:eastAsia="zh-CN"/>
              </w:rPr>
              <w:t>集气后纳入共用的</w:t>
            </w:r>
            <w:r>
              <w:rPr>
                <w:rFonts w:hint="default" w:ascii="Times New Roman" w:hAnsi="Times New Roman" w:cs="Times New Roman"/>
                <w:color w:val="auto"/>
                <w:sz w:val="24"/>
                <w:szCs w:val="22"/>
                <w:highlight w:val="none"/>
                <w:lang w:eastAsia="zh-CN"/>
              </w:rPr>
              <w:t>1套布袋除尘器处理，</w:t>
            </w:r>
            <w:r>
              <w:rPr>
                <w:rFonts w:hint="eastAsia" w:cs="Times New Roman"/>
                <w:color w:val="auto"/>
                <w:sz w:val="24"/>
                <w:szCs w:val="22"/>
                <w:highlight w:val="none"/>
                <w:lang w:val="en-US" w:eastAsia="zh-CN"/>
              </w:rPr>
              <w:t>尾气</w:t>
            </w:r>
            <w:r>
              <w:rPr>
                <w:rFonts w:hint="default" w:ascii="Times New Roman" w:hAnsi="Times New Roman" w:cs="Times New Roman"/>
                <w:color w:val="auto"/>
                <w:sz w:val="24"/>
                <w:szCs w:val="22"/>
                <w:highlight w:val="none"/>
                <w:lang w:eastAsia="zh-CN"/>
              </w:rPr>
              <w:t>通过1</w:t>
            </w:r>
            <w:r>
              <w:rPr>
                <w:rFonts w:hint="default" w:ascii="Times New Roman" w:hAnsi="Times New Roman" w:cs="Times New Roman"/>
                <w:color w:val="auto"/>
                <w:sz w:val="24"/>
                <w:szCs w:val="22"/>
                <w:highlight w:val="none"/>
                <w:lang w:val="en-US" w:eastAsia="zh-CN"/>
              </w:rPr>
              <w:t>根</w:t>
            </w:r>
            <w:r>
              <w:rPr>
                <w:rFonts w:hint="default" w:ascii="Times New Roman" w:hAnsi="Times New Roman" w:cs="Times New Roman"/>
                <w:color w:val="auto"/>
                <w:sz w:val="24"/>
                <w:szCs w:val="22"/>
                <w:highlight w:val="none"/>
                <w:lang w:eastAsia="zh-CN"/>
              </w:rPr>
              <w:t>15m高排气筒</w:t>
            </w:r>
            <w:r>
              <w:rPr>
                <w:rFonts w:hint="eastAsia" w:cs="Times New Roman"/>
                <w:color w:val="auto"/>
                <w:sz w:val="24"/>
                <w:szCs w:val="22"/>
                <w:highlight w:val="none"/>
                <w:lang w:eastAsia="zh-CN"/>
              </w:rPr>
              <w:t>（</w:t>
            </w:r>
            <w:r>
              <w:rPr>
                <w:rFonts w:hint="eastAsia" w:cs="Times New Roman"/>
                <w:color w:val="auto"/>
                <w:sz w:val="24"/>
                <w:szCs w:val="22"/>
                <w:highlight w:val="none"/>
                <w:lang w:val="en-US" w:eastAsia="zh-CN"/>
              </w:rPr>
              <w:t>DA003</w:t>
            </w:r>
            <w:r>
              <w:rPr>
                <w:rFonts w:hint="eastAsia" w:cs="Times New Roman"/>
                <w:color w:val="auto"/>
                <w:sz w:val="24"/>
                <w:szCs w:val="22"/>
                <w:highlight w:val="none"/>
                <w:lang w:eastAsia="zh-CN"/>
              </w:rPr>
              <w:t>）</w:t>
            </w:r>
            <w:r>
              <w:rPr>
                <w:rFonts w:hint="default" w:ascii="Times New Roman" w:hAnsi="Times New Roman" w:cs="Times New Roman"/>
                <w:color w:val="auto"/>
                <w:sz w:val="24"/>
                <w:szCs w:val="22"/>
                <w:highlight w:val="none"/>
                <w:lang w:eastAsia="zh-CN"/>
              </w:rPr>
              <w:t>排放。</w:t>
            </w:r>
            <w:r>
              <w:rPr>
                <w:rFonts w:hint="default" w:ascii="Times New Roman" w:hAnsi="Times New Roman" w:eastAsia="宋体" w:cs="Times New Roman"/>
                <w:snapToGrid/>
                <w:color w:val="auto"/>
                <w:kern w:val="2"/>
                <w:sz w:val="24"/>
                <w:szCs w:val="24"/>
                <w:highlight w:val="none"/>
                <w:lang w:val="en-US" w:eastAsia="zh-CN" w:bidi="ar-SA"/>
              </w:rPr>
              <w:t>有组织</w:t>
            </w:r>
            <w:r>
              <w:rPr>
                <w:rFonts w:hint="eastAsia" w:ascii="Times New Roman" w:hAnsi="Times New Roman" w:eastAsia="宋体" w:cs="Times New Roman"/>
                <w:color w:val="auto"/>
                <w:kern w:val="0"/>
                <w:sz w:val="24"/>
                <w:szCs w:val="24"/>
                <w:lang w:val="en-US" w:eastAsia="zh-CN" w:bidi="ar"/>
              </w:rPr>
              <w:t>颗粒物排放</w:t>
            </w:r>
            <w:r>
              <w:rPr>
                <w:rFonts w:hint="default" w:ascii="Times New Roman" w:hAnsi="Times New Roman" w:eastAsia="宋体" w:cs="Times New Roman"/>
                <w:color w:val="auto"/>
                <w:kern w:val="0"/>
                <w:sz w:val="24"/>
                <w:szCs w:val="24"/>
                <w:highlight w:val="none"/>
                <w:lang w:val="en-US" w:eastAsia="zh-CN" w:bidi="ar"/>
              </w:rPr>
              <w:t>浓度</w:t>
            </w:r>
            <w:r>
              <w:rPr>
                <w:rFonts w:hint="eastAsia" w:cs="Times New Roman"/>
                <w:color w:val="auto"/>
                <w:kern w:val="0"/>
                <w:sz w:val="24"/>
                <w:szCs w:val="24"/>
                <w:highlight w:val="none"/>
                <w:lang w:val="en-US" w:eastAsia="zh-CN" w:bidi="ar"/>
              </w:rPr>
              <w:t>20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排放</w:t>
            </w:r>
            <w:r>
              <w:rPr>
                <w:rFonts w:hint="eastAsia" w:ascii="Times New Roman" w:hAnsi="Times New Roman" w:eastAsia="宋体" w:cs="Times New Roman"/>
                <w:color w:val="auto"/>
                <w:kern w:val="0"/>
                <w:sz w:val="24"/>
                <w:szCs w:val="24"/>
                <w:lang w:val="en-US" w:eastAsia="zh-CN" w:bidi="ar"/>
              </w:rPr>
              <w:t>速率</w:t>
            </w:r>
            <w:r>
              <w:rPr>
                <w:rFonts w:hint="default" w:ascii="Times New Roman" w:hAnsi="Times New Roman" w:eastAsia="宋体" w:cs="Times New Roman"/>
                <w:color w:val="auto"/>
                <w:kern w:val="0"/>
                <w:sz w:val="24"/>
                <w:szCs w:val="24"/>
                <w:lang w:val="en-US" w:eastAsia="zh-CN" w:bidi="ar"/>
              </w:rPr>
              <w:t>为</w:t>
            </w:r>
            <w:r>
              <w:rPr>
                <w:rFonts w:hint="eastAsia" w:cs="Times New Roman"/>
                <w:color w:val="auto"/>
                <w:kern w:val="0"/>
                <w:sz w:val="24"/>
                <w:szCs w:val="24"/>
                <w:lang w:val="en-US" w:eastAsia="zh-CN" w:bidi="ar"/>
              </w:rPr>
              <w:t>3</w:t>
            </w:r>
            <w:r>
              <w:rPr>
                <w:rFonts w:hint="default" w:ascii="Times New Roman" w:hAnsi="Times New Roman" w:cs="Times New Roman"/>
                <w:color w:val="auto"/>
                <w:sz w:val="24"/>
                <w:highlight w:val="none"/>
                <w:lang w:val="en-US" w:eastAsia="zh-CN"/>
              </w:rPr>
              <w:t>kg/h</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snapToGrid/>
                <w:color w:val="auto"/>
                <w:kern w:val="2"/>
                <w:sz w:val="24"/>
                <w:szCs w:val="24"/>
                <w:highlight w:val="none"/>
                <w:lang w:val="en-US" w:eastAsia="zh-CN" w:bidi="ar-SA"/>
              </w:rPr>
              <w:t>排放量为</w:t>
            </w:r>
            <w:r>
              <w:rPr>
                <w:rFonts w:hint="eastAsia" w:cs="Times New Roman"/>
                <w:snapToGrid/>
                <w:color w:val="auto"/>
                <w:kern w:val="2"/>
                <w:sz w:val="24"/>
                <w:szCs w:val="24"/>
                <w:highlight w:val="none"/>
                <w:lang w:val="en-US" w:eastAsia="zh-CN" w:bidi="ar-SA"/>
              </w:rPr>
              <w:t>21.38</w:t>
            </w:r>
            <w:r>
              <w:rPr>
                <w:rFonts w:hint="default" w:ascii="Times New Roman" w:hAnsi="Times New Roman" w:eastAsia="宋体" w:cs="Times New Roman"/>
                <w:snapToGrid/>
                <w:color w:val="auto"/>
                <w:kern w:val="2"/>
                <w:sz w:val="24"/>
                <w:szCs w:val="24"/>
                <w:highlight w:val="none"/>
                <w:lang w:val="en-US" w:eastAsia="zh-CN" w:bidi="ar-SA"/>
              </w:rPr>
              <w:t>t/a</w:t>
            </w:r>
            <w:r>
              <w:rPr>
                <w:rFonts w:hint="eastAsia" w:cs="Times New Roman"/>
                <w:color w:val="auto"/>
                <w:spacing w:val="0"/>
                <w:sz w:val="24"/>
                <w:szCs w:val="24"/>
                <w:lang w:eastAsia="zh-CN"/>
              </w:rPr>
              <w:t>；</w:t>
            </w:r>
            <w:r>
              <w:rPr>
                <w:rFonts w:hint="default" w:ascii="Times New Roman" w:hAnsi="Times New Roman" w:eastAsia="宋体" w:cs="Times New Roman"/>
                <w:color w:val="auto"/>
                <w:sz w:val="24"/>
                <w:szCs w:val="24"/>
                <w:highlight w:val="none"/>
                <w:lang w:val="en-US" w:eastAsia="zh-CN"/>
              </w:rPr>
              <w:t>无组织粉尘排放量</w:t>
            </w:r>
            <w:r>
              <w:rPr>
                <w:rFonts w:hint="eastAsia" w:cs="Times New Roman"/>
                <w:color w:val="auto"/>
                <w:sz w:val="24"/>
                <w:szCs w:val="24"/>
                <w:highlight w:val="none"/>
                <w:lang w:val="en-US" w:eastAsia="zh-CN"/>
              </w:rPr>
              <w:t>3.24</w:t>
            </w:r>
            <w:r>
              <w:rPr>
                <w:rFonts w:hint="eastAsia" w:ascii="Times New Roman" w:hAnsi="Times New Roman"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lang w:val="en-US" w:eastAsia="zh-CN"/>
              </w:rPr>
              <w:t>/a，0.</w:t>
            </w:r>
            <w:r>
              <w:rPr>
                <w:rFonts w:hint="eastAsia"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lang w:val="en-US" w:eastAsia="zh-CN"/>
              </w:rPr>
              <w:t>kg/h</w:t>
            </w:r>
            <w:r>
              <w:rPr>
                <w:rFonts w:hint="default" w:ascii="Times New Roman" w:hAnsi="Times New Roman" w:eastAsia="宋体" w:cs="Times New Roman"/>
                <w:color w:val="auto"/>
                <w:kern w:val="0"/>
                <w:sz w:val="24"/>
                <w:szCs w:val="24"/>
                <w:lang w:val="en-US" w:eastAsia="zh-CN" w:bidi="ar"/>
              </w:rPr>
              <w:t>。废气中颗粒物</w:t>
            </w:r>
            <w:r>
              <w:rPr>
                <w:rFonts w:hint="eastAsia" w:ascii="Times New Roman" w:hAnsi="Times New Roman" w:eastAsia="宋体" w:cs="Times New Roman"/>
                <w:color w:val="auto"/>
                <w:kern w:val="0"/>
                <w:sz w:val="24"/>
                <w:szCs w:val="24"/>
                <w:lang w:val="en-US" w:eastAsia="zh-CN" w:bidi="ar"/>
              </w:rPr>
              <w:t>满足</w:t>
            </w:r>
            <w:r>
              <w:rPr>
                <w:rFonts w:hint="default" w:ascii="Times New Roman" w:hAnsi="Times New Roman" w:cs="Times New Roman"/>
                <w:color w:val="auto"/>
                <w:spacing w:val="0"/>
                <w:sz w:val="24"/>
                <w:szCs w:val="24"/>
              </w:rPr>
              <w:t>《大气污染物综合排放标准》</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pacing w:val="0"/>
                <w:sz w:val="24"/>
                <w:szCs w:val="24"/>
              </w:rPr>
              <w:t>GB16297-1996</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pacing w:val="0"/>
                <w:sz w:val="24"/>
                <w:szCs w:val="24"/>
              </w:rPr>
              <w:t>表2中二级排放限值</w:t>
            </w:r>
            <w:r>
              <w:rPr>
                <w:rStyle w:val="93"/>
                <w:rFonts w:hint="eastAsia" w:ascii="Times New Roman" w:hAnsi="Times New Roman" w:eastAsia="宋体" w:cs="Times New Roman"/>
                <w:color w:val="auto"/>
                <w:sz w:val="24"/>
                <w:szCs w:val="24"/>
                <w:highlight w:val="none"/>
                <w:vertAlign w:val="baseline"/>
                <w:lang w:val="en-US" w:eastAsia="zh-CN" w:bidi="ar"/>
              </w:rPr>
              <w:t>（</w:t>
            </w:r>
            <w:r>
              <w:rPr>
                <w:rStyle w:val="93"/>
                <w:rFonts w:hint="default" w:ascii="Times New Roman" w:hAnsi="Times New Roman" w:eastAsia="宋体" w:cs="Times New Roman"/>
                <w:color w:val="auto"/>
                <w:sz w:val="24"/>
                <w:szCs w:val="24"/>
                <w:highlight w:val="none"/>
                <w:vertAlign w:val="baseline"/>
                <w:lang w:val="en-US" w:eastAsia="zh-CN" w:bidi="ar"/>
              </w:rPr>
              <w:t>颗粒</w:t>
            </w:r>
            <w:r>
              <w:rPr>
                <w:rStyle w:val="93"/>
                <w:rFonts w:hint="eastAsia" w:ascii="Times New Roman" w:hAnsi="Times New Roman" w:eastAsia="宋体" w:cs="Times New Roman"/>
                <w:color w:val="auto"/>
                <w:sz w:val="24"/>
                <w:szCs w:val="24"/>
                <w:highlight w:val="none"/>
                <w:vertAlign w:val="baseline"/>
                <w:lang w:val="en-US" w:eastAsia="zh-CN" w:bidi="ar"/>
              </w:rPr>
              <w:t>物</w:t>
            </w:r>
            <w:r>
              <w:rPr>
                <w:rStyle w:val="93"/>
                <w:rFonts w:hint="default" w:ascii="Times New Roman" w:hAnsi="Times New Roman" w:eastAsia="宋体" w:cs="Times New Roman"/>
                <w:color w:val="auto"/>
                <w:sz w:val="24"/>
                <w:szCs w:val="24"/>
                <w:highlight w:val="none"/>
                <w:vertAlign w:val="baseline"/>
                <w:lang w:val="en-US" w:eastAsia="zh-CN" w:bidi="ar"/>
              </w:rPr>
              <w:t>排放浓度&lt;</w:t>
            </w:r>
            <w:r>
              <w:rPr>
                <w:rStyle w:val="93"/>
                <w:rFonts w:hint="eastAsia" w:ascii="Times New Roman" w:hAnsi="Times New Roman" w:eastAsia="宋体" w:cs="Times New Roman"/>
                <w:color w:val="auto"/>
                <w:sz w:val="24"/>
                <w:szCs w:val="24"/>
                <w:highlight w:val="none"/>
                <w:vertAlign w:val="baseline"/>
                <w:lang w:val="en-US" w:eastAsia="zh-CN" w:bidi="ar"/>
              </w:rPr>
              <w:t>12</w:t>
            </w:r>
            <w:r>
              <w:rPr>
                <w:rStyle w:val="93"/>
                <w:rFonts w:hint="default" w:ascii="Times New Roman" w:hAnsi="Times New Roman" w:eastAsia="宋体" w:cs="Times New Roman"/>
                <w:color w:val="auto"/>
                <w:sz w:val="24"/>
                <w:szCs w:val="24"/>
                <w:highlight w:val="none"/>
                <w:vertAlign w:val="baseline"/>
                <w:lang w:val="en-US" w:eastAsia="zh-CN" w:bidi="ar"/>
              </w:rPr>
              <w:t>0mg/m</w:t>
            </w:r>
            <w:r>
              <w:rPr>
                <w:rStyle w:val="93"/>
                <w:rFonts w:hint="default" w:ascii="Times New Roman" w:hAnsi="Times New Roman" w:eastAsia="宋体" w:cs="Times New Roman"/>
                <w:color w:val="auto"/>
                <w:sz w:val="24"/>
                <w:szCs w:val="24"/>
                <w:highlight w:val="none"/>
                <w:vertAlign w:val="superscript"/>
                <w:lang w:val="en-US" w:eastAsia="zh-CN" w:bidi="ar"/>
              </w:rPr>
              <w:t>3</w:t>
            </w:r>
            <w:r>
              <w:rPr>
                <w:rStyle w:val="93"/>
                <w:rFonts w:hint="eastAsia" w:cs="Times New Roman"/>
                <w:color w:val="auto"/>
                <w:sz w:val="24"/>
                <w:szCs w:val="24"/>
                <w:highlight w:val="none"/>
                <w:vertAlign w:val="baseline"/>
                <w:lang w:val="en-US" w:eastAsia="zh-CN" w:bidi="ar"/>
              </w:rPr>
              <w:t>，</w:t>
            </w:r>
            <w:r>
              <w:rPr>
                <w:rFonts w:hint="eastAsia" w:ascii="Times New Roman" w:hAnsi="Times New Roman" w:eastAsia="宋体" w:cs="Times New Roman"/>
                <w:color w:val="auto"/>
                <w:spacing w:val="0"/>
                <w:sz w:val="24"/>
                <w:szCs w:val="24"/>
                <w:lang w:val="en-US" w:eastAsia="zh-CN"/>
              </w:rPr>
              <w:t>15m排气筒排放速率≤3.5kg/h</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2"/>
                <w:highlight w:val="none"/>
                <w:lang w:eastAsia="zh-CN"/>
              </w:rPr>
              <w:t>对评价范围内的大气环境影响较小，不会改变评价范围内的大气环境功能。</w:t>
            </w:r>
            <w:r>
              <w:rPr>
                <w:rFonts w:hint="default" w:ascii="Times New Roman" w:hAnsi="Times New Roman" w:cs="Times New Roman"/>
                <w:color w:val="auto"/>
                <w:sz w:val="24"/>
                <w:highlight w:val="none"/>
                <w:lang w:val="en-US" w:eastAsia="zh-CN"/>
              </w:rPr>
              <w:t>项目排放废气污染物的厂界外短期贡献值浓度不会超过环境质量浓度限值，厂区周边大气满足环境质量标准，不需设置大气环境防护距离。</w:t>
            </w:r>
          </w:p>
          <w:p>
            <w:pPr>
              <w:pStyle w:val="4"/>
              <w:keepNext/>
              <w:keepLines w:val="0"/>
              <w:pageBreakBefore w:val="0"/>
              <w:widowControl w:val="0"/>
              <w:numPr>
                <w:ilvl w:val="1"/>
                <w:numId w:val="0"/>
              </w:numPr>
              <w:kinsoku/>
              <w:wordWrap/>
              <w:overflowPunct/>
              <w:topLinePunct w:val="0"/>
              <w:autoSpaceDE/>
              <w:autoSpaceDN/>
              <w:bidi w:val="0"/>
              <w:adjustRightInd w:val="0"/>
              <w:snapToGrid w:val="0"/>
              <w:spacing w:beforeLines="0" w:afterLines="0" w:line="360" w:lineRule="auto"/>
              <w:ind w:leftChars="0"/>
              <w:jc w:val="both"/>
              <w:textAlignment w:val="auto"/>
              <w:rPr>
                <w:rFonts w:hint="default" w:ascii="Times New Roman" w:hAnsi="Times New Roman" w:eastAsia="宋体" w:cs="Times New Roman"/>
                <w:b/>
                <w:bCs w:val="0"/>
                <w:color w:val="auto"/>
                <w:kern w:val="2"/>
                <w:sz w:val="24"/>
                <w:szCs w:val="24"/>
                <w:highlight w:val="none"/>
                <w:u w:val="none" w:color="auto"/>
                <w:lang w:val="en-US" w:eastAsia="zh-CN" w:bidi="ar"/>
              </w:rPr>
            </w:pPr>
            <w:bookmarkStart w:id="214" w:name="_Toc30809"/>
            <w:bookmarkStart w:id="215" w:name="_Toc14924"/>
            <w:bookmarkStart w:id="216" w:name="_Toc4938"/>
            <w:bookmarkStart w:id="217" w:name="_Toc27138"/>
            <w:bookmarkStart w:id="218" w:name="_Toc23852"/>
            <w:bookmarkStart w:id="219" w:name="_Toc280"/>
            <w:r>
              <w:rPr>
                <w:rFonts w:hint="eastAsia" w:ascii="Times New Roman" w:hAnsi="Times New Roman" w:eastAsia="宋体" w:cs="Times New Roman"/>
                <w:b/>
                <w:bCs w:val="0"/>
                <w:color w:val="auto"/>
                <w:kern w:val="2"/>
                <w:sz w:val="24"/>
                <w:szCs w:val="24"/>
                <w:highlight w:val="none"/>
                <w:u w:val="none" w:color="auto"/>
                <w:lang w:val="en-US" w:eastAsia="zh-CN" w:bidi="ar"/>
              </w:rPr>
              <w:t>（2）</w:t>
            </w:r>
            <w:r>
              <w:rPr>
                <w:rFonts w:hint="default" w:ascii="Times New Roman" w:hAnsi="Times New Roman" w:eastAsia="宋体" w:cs="Times New Roman"/>
                <w:b/>
                <w:bCs w:val="0"/>
                <w:color w:val="auto"/>
                <w:kern w:val="2"/>
                <w:sz w:val="24"/>
                <w:szCs w:val="24"/>
                <w:highlight w:val="none"/>
                <w:u w:val="none" w:color="auto"/>
                <w:lang w:val="en-US" w:eastAsia="zh-CN" w:bidi="ar"/>
              </w:rPr>
              <w:t>非正常工况排污分析</w:t>
            </w:r>
            <w:bookmarkEnd w:id="214"/>
            <w:bookmarkEnd w:id="215"/>
            <w:bookmarkEnd w:id="216"/>
            <w:bookmarkEnd w:id="217"/>
            <w:bookmarkEnd w:id="218"/>
            <w:bookmarkEnd w:id="219"/>
          </w:p>
          <w:p>
            <w:pPr>
              <w:pStyle w:val="80"/>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highlight w:val="yellow"/>
                <w:lang w:val="en-US" w:eastAsia="zh-CN" w:bidi="ar-SA"/>
              </w:rPr>
            </w:pPr>
            <w:r>
              <w:rPr>
                <w:rFonts w:hint="default" w:ascii="Times New Roman" w:hAnsi="Times New Roman" w:eastAsia="宋体" w:cs="Times New Roman"/>
                <w:snapToGrid w:val="0"/>
                <w:color w:val="auto"/>
                <w:kern w:val="0"/>
                <w:highlight w:val="none"/>
                <w:lang w:val="en-US" w:eastAsia="zh-CN"/>
              </w:rPr>
              <w:t>对生产运行中产生的污染源和污染物进行了有效的控制，确保正常生产情况下外排污染物对环境的影响最小。在生产工艺上虽然采取了防止事故污染的控制措施，但仍有可能出现频率极低和不可预计的事故状况，此时将出现超过正常生产时的污染物排放量，以下按不利情况考虑，对典型非正常工况条件下的排放情况进行分析。除尘器故障，引起除尘效率下降，从而造成污染物的非正常排放。按照实际操作经验，该</w:t>
            </w:r>
            <w:r>
              <w:rPr>
                <w:rFonts w:hint="eastAsia" w:ascii="Times New Roman" w:hAnsi="Times New Roman" w:eastAsia="宋体" w:cs="Times New Roman"/>
                <w:snapToGrid w:val="0"/>
                <w:color w:val="auto"/>
                <w:kern w:val="0"/>
                <w:highlight w:val="none"/>
                <w:lang w:val="en-US" w:eastAsia="zh-CN"/>
              </w:rPr>
              <w:t>出现故障时</w:t>
            </w:r>
            <w:r>
              <w:rPr>
                <w:rFonts w:hint="default" w:ascii="Times New Roman" w:hAnsi="Times New Roman" w:eastAsia="宋体" w:cs="Times New Roman"/>
                <w:snapToGrid w:val="0"/>
                <w:color w:val="auto"/>
                <w:kern w:val="0"/>
                <w:highlight w:val="none"/>
                <w:lang w:val="en-US" w:eastAsia="zh-CN"/>
              </w:rPr>
              <w:t>除尘器的效率下降</w:t>
            </w:r>
            <w:r>
              <w:rPr>
                <w:rFonts w:hint="eastAsia" w:ascii="Times New Roman" w:hAnsi="Times New Roman" w:cs="Times New Roman"/>
                <w:snapToGrid w:val="0"/>
                <w:color w:val="auto"/>
                <w:kern w:val="0"/>
                <w:highlight w:val="none"/>
                <w:lang w:val="en-US" w:eastAsia="zh-CN"/>
              </w:rPr>
              <w:t>至80</w:t>
            </w:r>
            <w:r>
              <w:rPr>
                <w:rFonts w:hint="default" w:ascii="Times New Roman" w:hAnsi="Times New Roman" w:eastAsia="宋体" w:cs="Times New Roman"/>
                <w:snapToGrid w:val="0"/>
                <w:color w:val="auto"/>
                <w:kern w:val="0"/>
                <w:highlight w:val="none"/>
                <w:lang w:val="en-US" w:eastAsia="zh-CN"/>
              </w:rPr>
              <w:t>％。非正常源项估算除尘器的非正常源强见下表4.2-</w:t>
            </w:r>
            <w:r>
              <w:rPr>
                <w:rFonts w:hint="eastAsia" w:ascii="Times New Roman" w:hAnsi="Times New Roman" w:cs="Times New Roman"/>
                <w:snapToGrid w:val="0"/>
                <w:color w:val="auto"/>
                <w:kern w:val="0"/>
                <w:highlight w:val="none"/>
                <w:lang w:val="en-US" w:eastAsia="zh-CN"/>
              </w:rPr>
              <w:t>6</w:t>
            </w:r>
            <w:r>
              <w:rPr>
                <w:rFonts w:hint="default" w:ascii="Times New Roman" w:hAnsi="Times New Roman" w:eastAsia="宋体" w:cs="Times New Roman"/>
                <w:snapToGrid w:val="0"/>
                <w:color w:val="auto"/>
                <w:kern w:val="0"/>
                <w:highlight w:val="none"/>
                <w:lang w:val="en-US" w:eastAsia="zh-CN"/>
              </w:rPr>
              <w:t xml:space="preserve"> 。</w:t>
            </w:r>
            <w:bookmarkStart w:id="220" w:name="_Ref525721836"/>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bookmarkEnd w:id="220"/>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废气</w:t>
            </w:r>
            <w:r>
              <w:rPr>
                <w:rFonts w:hint="eastAsia" w:ascii="Times New Roman" w:hAnsi="Times New Roman" w:eastAsia="宋体" w:cs="Times New Roman"/>
                <w:b/>
                <w:bCs/>
                <w:color w:val="auto"/>
                <w:sz w:val="24"/>
                <w:szCs w:val="24"/>
                <w:lang w:val="en-US" w:eastAsia="zh-CN"/>
              </w:rPr>
              <w:t>处理设施故障</w:t>
            </w:r>
            <w:r>
              <w:rPr>
                <w:rFonts w:hint="default" w:ascii="Times New Roman" w:hAnsi="Times New Roman" w:eastAsia="宋体" w:cs="Times New Roman"/>
                <w:b/>
                <w:bCs/>
                <w:color w:val="auto"/>
                <w:sz w:val="24"/>
                <w:szCs w:val="24"/>
                <w:lang w:val="en-US" w:eastAsia="zh-CN"/>
              </w:rPr>
              <w:t>非正常排放源强</w:t>
            </w:r>
          </w:p>
          <w:tbl>
            <w:tblPr>
              <w:tblStyle w:val="33"/>
              <w:tblW w:w="4991" w:type="pct"/>
              <w:tblInd w:w="1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28" w:type="dxa"/>
                <w:bottom w:w="0" w:type="dxa"/>
                <w:right w:w="28" w:type="dxa"/>
              </w:tblCellMar>
            </w:tblPr>
            <w:tblGrid>
              <w:gridCol w:w="1160"/>
              <w:gridCol w:w="1948"/>
              <w:gridCol w:w="1944"/>
              <w:gridCol w:w="1944"/>
              <w:gridCol w:w="205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trHeight w:val="340" w:hRule="atLeast"/>
                <w:tblHeader/>
              </w:trPr>
              <w:tc>
                <w:tcPr>
                  <w:tcW w:w="1717" w:type="pct"/>
                  <w:gridSpan w:val="2"/>
                  <w:tcBorders>
                    <w:bottom w:val="single" w:color="000000" w:sz="6" w:space="0"/>
                    <w:tl2br w:val="single" w:color="000000" w:sz="6"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right"/>
                    <w:textAlignment w:val="auto"/>
                    <w:rPr>
                      <w:rFonts w:hint="default" w:ascii="Times New Roman" w:hAnsi="Times New Roman" w:cs="Times New Roman"/>
                      <w:b w:val="0"/>
                      <w:bCs w:val="0"/>
                      <w:snapToGrid w:val="0"/>
                      <w:color w:val="auto"/>
                      <w:sz w:val="21"/>
                      <w:szCs w:val="21"/>
                      <w:highlight w:val="none"/>
                      <w:u w:val="none"/>
                    </w:rPr>
                  </w:pPr>
                  <w:r>
                    <w:rPr>
                      <w:rFonts w:hint="default" w:ascii="Times New Roman" w:hAnsi="Times New Roman" w:cs="Times New Roman"/>
                      <w:b w:val="0"/>
                      <w:bCs w:val="0"/>
                      <w:snapToGrid w:val="0"/>
                      <w:color w:val="auto"/>
                      <w:sz w:val="21"/>
                      <w:szCs w:val="21"/>
                      <w:highlight w:val="none"/>
                      <w:u w:val="none"/>
                    </w:rPr>
                    <w:t xml:space="preserve">              污染源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textAlignment w:val="auto"/>
                    <w:rPr>
                      <w:rFonts w:hint="default" w:ascii="Times New Roman" w:hAnsi="Times New Roman" w:cs="Times New Roman"/>
                      <w:b w:val="0"/>
                      <w:bCs w:val="0"/>
                      <w:snapToGrid w:val="0"/>
                      <w:color w:val="auto"/>
                      <w:sz w:val="21"/>
                      <w:szCs w:val="21"/>
                      <w:highlight w:val="none"/>
                      <w:u w:val="none"/>
                    </w:rPr>
                  </w:pPr>
                  <w:r>
                    <w:rPr>
                      <w:rFonts w:hint="default" w:ascii="Times New Roman" w:hAnsi="Times New Roman" w:cs="Times New Roman"/>
                      <w:b w:val="0"/>
                      <w:bCs w:val="0"/>
                      <w:snapToGrid w:val="0"/>
                      <w:color w:val="auto"/>
                      <w:sz w:val="21"/>
                      <w:szCs w:val="21"/>
                      <w:highlight w:val="none"/>
                      <w:u w:val="none"/>
                    </w:rPr>
                    <w:t>项目</w:t>
                  </w:r>
                </w:p>
              </w:tc>
              <w:tc>
                <w:tcPr>
                  <w:tcW w:w="10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val="0"/>
                      <w:bCs w:val="0"/>
                      <w:snapToGrid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rPr>
                    <w:t>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10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snapToGrid w:val="0"/>
                      <w:color w:val="auto"/>
                      <w:sz w:val="21"/>
                      <w:szCs w:val="21"/>
                      <w:highlight w:val="none"/>
                      <w:u w:val="none"/>
                    </w:rPr>
                  </w:pPr>
                  <w:r>
                    <w:rPr>
                      <w:rFonts w:hint="default" w:ascii="Times New Roman" w:hAnsi="Times New Roman" w:cs="Times New Roman"/>
                      <w:b w:val="0"/>
                      <w:bCs w:val="0"/>
                      <w:snapToGrid w:val="0"/>
                      <w:color w:val="auto"/>
                      <w:sz w:val="21"/>
                      <w:szCs w:val="21"/>
                      <w:highlight w:val="none"/>
                      <w:u w:val="none"/>
                    </w:rPr>
                    <w:t>排放量(kg/h)</w:t>
                  </w:r>
                </w:p>
              </w:tc>
              <w:tc>
                <w:tcPr>
                  <w:tcW w:w="11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highlight w:val="none"/>
                      <w:u w:val="none"/>
                    </w:rPr>
                  </w:pPr>
                  <w:r>
                    <w:rPr>
                      <w:rFonts w:hint="eastAsia" w:ascii="Times New Roman" w:hAnsi="Times New Roman" w:cs="Times New Roman"/>
                      <w:b w:val="0"/>
                      <w:bCs w:val="0"/>
                      <w:snapToGrid w:val="0"/>
                      <w:color w:val="auto"/>
                      <w:sz w:val="21"/>
                      <w:szCs w:val="21"/>
                      <w:highlight w:val="none"/>
                      <w:u w:val="none"/>
                      <w:lang w:eastAsia="zh-CN"/>
                    </w:rPr>
                    <w:t>排气筒风量（m</w:t>
                  </w:r>
                  <w:r>
                    <w:rPr>
                      <w:rFonts w:hint="eastAsia" w:ascii="Times New Roman" w:hAnsi="Times New Roman" w:cs="Times New Roman"/>
                      <w:b w:val="0"/>
                      <w:bCs w:val="0"/>
                      <w:snapToGrid w:val="0"/>
                      <w:color w:val="auto"/>
                      <w:sz w:val="21"/>
                      <w:szCs w:val="21"/>
                      <w:highlight w:val="none"/>
                      <w:u w:val="none"/>
                      <w:vertAlign w:val="superscript"/>
                      <w:lang w:eastAsia="zh-CN"/>
                    </w:rPr>
                    <w:t>3</w:t>
                  </w:r>
                  <w:r>
                    <w:rPr>
                      <w:rFonts w:hint="eastAsia" w:ascii="Times New Roman" w:hAnsi="Times New Roman" w:cs="Times New Roman"/>
                      <w:b w:val="0"/>
                      <w:bCs w:val="0"/>
                      <w:snapToGrid w:val="0"/>
                      <w:color w:val="auto"/>
                      <w:sz w:val="21"/>
                      <w:szCs w:val="21"/>
                      <w:highlight w:val="none"/>
                      <w:u w:val="none"/>
                      <w:lang w:eastAsia="zh-CN"/>
                    </w:rPr>
                    <w:t>/h）</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trHeight w:val="340" w:hRule="atLeast"/>
              </w:trPr>
              <w:tc>
                <w:tcPr>
                  <w:tcW w:w="641" w:type="pct"/>
                  <w:noWrap w:val="0"/>
                  <w:vAlign w:val="center"/>
                </w:tcPr>
                <w:p>
                  <w:pPr>
                    <w:pStyle w:val="92"/>
                    <w:adjustRightInd w:val="0"/>
                    <w:snapToGrid w:val="0"/>
                    <w:jc w:val="center"/>
                    <w:rPr>
                      <w:rFonts w:hint="default" w:ascii="Times New Roman" w:hAnsi="Times New Roman" w:cs="Times New Roman"/>
                      <w:b w:val="0"/>
                      <w:bCs w:val="0"/>
                      <w:color w:val="auto"/>
                      <w:sz w:val="21"/>
                      <w:szCs w:val="21"/>
                      <w:highlight w:val="none"/>
                      <w:u w:val="none"/>
                    </w:rPr>
                  </w:pPr>
                  <w:r>
                    <w:rPr>
                      <w:rFonts w:hint="default" w:ascii="Times New Roman" w:hAnsi="Times New Roman" w:eastAsia="宋体" w:cs="Times New Roman"/>
                      <w:color w:val="auto"/>
                      <w:spacing w:val="0"/>
                      <w:kern w:val="0"/>
                      <w:sz w:val="21"/>
                      <w:szCs w:val="21"/>
                      <w:highlight w:val="none"/>
                      <w:lang w:val="en-US" w:eastAsia="zh-CN" w:bidi="ar-SA"/>
                    </w:rPr>
                    <w:t>钢渣综合利用项目废气</w:t>
                  </w:r>
                </w:p>
              </w:tc>
              <w:tc>
                <w:tcPr>
                  <w:tcW w:w="1076" w:type="pct"/>
                  <w:noWrap w:val="0"/>
                  <w:vAlign w:val="center"/>
                </w:tcPr>
                <w:p>
                  <w:pPr>
                    <w:pStyle w:val="92"/>
                    <w:adjustRightInd w:val="0"/>
                    <w:snapToGrid w:val="0"/>
                    <w:jc w:val="center"/>
                    <w:rPr>
                      <w:rFonts w:hint="default" w:ascii="Times New Roman" w:hAnsi="Times New Roman" w:eastAsia="宋体" w:cs="Times New Roman"/>
                      <w:b w:val="0"/>
                      <w:bCs w:val="0"/>
                      <w:snapToGrid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颗粒物</w:t>
                  </w:r>
                </w:p>
              </w:tc>
              <w:tc>
                <w:tcPr>
                  <w:tcW w:w="10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highlight w:val="none"/>
                      <w:u w:val="none"/>
                      <w:lang w:val="en-US" w:eastAsia="zh-CN"/>
                    </w:rPr>
                  </w:pPr>
                  <w:r>
                    <w:rPr>
                      <w:rFonts w:hint="eastAsia" w:cs="Times New Roman"/>
                      <w:b w:val="0"/>
                      <w:bCs w:val="0"/>
                      <w:snapToGrid w:val="0"/>
                      <w:color w:val="auto"/>
                      <w:sz w:val="21"/>
                      <w:szCs w:val="21"/>
                      <w:highlight w:val="none"/>
                      <w:u w:val="none"/>
                      <w:lang w:val="en-US" w:eastAsia="zh-CN"/>
                    </w:rPr>
                    <w:t>220</w:t>
                  </w:r>
                </w:p>
              </w:tc>
              <w:tc>
                <w:tcPr>
                  <w:tcW w:w="107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cs="Times New Roman"/>
                      <w:b w:val="0"/>
                      <w:bCs w:val="0"/>
                      <w:snapToGrid w:val="0"/>
                      <w:color w:val="auto"/>
                      <w:sz w:val="21"/>
                      <w:szCs w:val="21"/>
                      <w:highlight w:val="none"/>
                      <w:u w:val="none"/>
                      <w:lang w:val="en-US" w:eastAsia="zh-CN"/>
                    </w:rPr>
                  </w:pPr>
                  <w:r>
                    <w:rPr>
                      <w:rFonts w:hint="eastAsia" w:cs="Times New Roman"/>
                      <w:b w:val="0"/>
                      <w:bCs w:val="0"/>
                      <w:snapToGrid w:val="0"/>
                      <w:color w:val="auto"/>
                      <w:sz w:val="21"/>
                      <w:szCs w:val="21"/>
                      <w:highlight w:val="none"/>
                      <w:u w:val="none"/>
                      <w:lang w:val="en-US" w:eastAsia="zh-CN"/>
                    </w:rPr>
                    <w:t>60</w:t>
                  </w:r>
                </w:p>
              </w:tc>
              <w:tc>
                <w:tcPr>
                  <w:tcW w:w="113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cs="Times New Roman"/>
                      <w:b w:val="0"/>
                      <w:bCs w:val="0"/>
                      <w:snapToGrid w:val="0"/>
                      <w:color w:val="auto"/>
                      <w:sz w:val="21"/>
                      <w:szCs w:val="21"/>
                      <w:highlight w:val="none"/>
                      <w:u w:val="none"/>
                      <w:lang w:val="en-US"/>
                    </w:rPr>
                  </w:pPr>
                  <w:r>
                    <w:rPr>
                      <w:rFonts w:hint="eastAsia" w:ascii="Times New Roman" w:hAnsi="Times New Roman" w:cs="Times New Roman"/>
                      <w:b w:val="0"/>
                      <w:bCs w:val="0"/>
                      <w:snapToGrid w:val="0"/>
                      <w:color w:val="auto"/>
                      <w:sz w:val="21"/>
                      <w:szCs w:val="21"/>
                      <w:highlight w:val="none"/>
                      <w:u w:val="none"/>
                      <w:lang w:val="en-US" w:eastAsia="zh-CN"/>
                    </w:rPr>
                    <w:t>150000</w:t>
                  </w:r>
                </w:p>
              </w:tc>
            </w:tr>
          </w:tbl>
          <w:p>
            <w:pPr>
              <w:pStyle w:val="80"/>
              <w:keepNext w:val="0"/>
              <w:keepLines w:val="0"/>
              <w:pageBreakBefore w:val="0"/>
              <w:widowControl w:val="0"/>
              <w:kinsoku/>
              <w:wordWrap/>
              <w:overflowPunct/>
              <w:topLinePunct w:val="0"/>
              <w:autoSpaceDE/>
              <w:autoSpaceDN/>
              <w:bidi w:val="0"/>
              <w:adjustRightInd w:val="0"/>
              <w:snapToGrid w:val="0"/>
              <w:spacing w:before="110" w:beforeLines="30"/>
              <w:jc w:val="both"/>
              <w:textAlignment w:val="auto"/>
              <w:rPr>
                <w:rFonts w:hint="default" w:ascii="Times New Roman" w:hAnsi="Times New Roman" w:eastAsia="宋体" w:cs="Times New Roman"/>
                <w:snapToGrid w:val="0"/>
                <w:color w:val="auto"/>
                <w:kern w:val="0"/>
                <w:highlight w:val="none"/>
                <w:lang w:val="en-US" w:eastAsia="zh-CN"/>
              </w:rPr>
            </w:pPr>
            <w:r>
              <w:rPr>
                <w:rFonts w:hint="default" w:ascii="Times New Roman" w:hAnsi="Times New Roman" w:eastAsia="宋体" w:cs="Times New Roman"/>
                <w:snapToGrid w:val="0"/>
                <w:color w:val="auto"/>
                <w:kern w:val="0"/>
                <w:highlight w:val="none"/>
                <w:lang w:val="en-US" w:eastAsia="zh-CN"/>
              </w:rPr>
              <w:t>建设单位应加强设备的维护和管理，减少非正常排放情况发生。</w:t>
            </w:r>
          </w:p>
          <w:p>
            <w:pPr>
              <w:pStyle w:val="6"/>
              <w:keepNext/>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4.2.1.</w:t>
            </w:r>
            <w:r>
              <w:rPr>
                <w:rFonts w:hint="eastAsia" w:ascii="Times New Roman" w:hAnsi="Times New Roman" w:eastAsia="宋体" w:cs="Times New Roman"/>
                <w:b/>
                <w:bCs/>
                <w:color w:val="auto"/>
                <w:kern w:val="0"/>
                <w:sz w:val="24"/>
                <w:szCs w:val="24"/>
                <w:highlight w:val="none"/>
                <w:lang w:val="en-US" w:eastAsia="zh-CN"/>
              </w:rPr>
              <w:t>3</w:t>
            </w:r>
            <w:r>
              <w:rPr>
                <w:rFonts w:hint="default" w:ascii="Times New Roman" w:hAnsi="Times New Roman" w:eastAsia="宋体" w:cs="Times New Roman"/>
                <w:b/>
                <w:bCs/>
                <w:color w:val="auto"/>
                <w:kern w:val="0"/>
                <w:sz w:val="24"/>
                <w:szCs w:val="24"/>
                <w:highlight w:val="none"/>
              </w:rPr>
              <w:t xml:space="preserve">  环保措施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bookmarkStart w:id="221" w:name="_Toc14728"/>
            <w:r>
              <w:rPr>
                <w:rFonts w:hint="default" w:ascii="Times New Roman" w:hAnsi="Times New Roman" w:cs="Times New Roman"/>
                <w:color w:val="auto"/>
                <w:sz w:val="24"/>
                <w:highlight w:val="none"/>
              </w:rPr>
              <w:t>（1）有组织废气治理</w:t>
            </w:r>
            <w:bookmarkEnd w:id="221"/>
          </w:p>
          <w:p>
            <w:pPr>
              <w:pStyle w:val="89"/>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sz w:val="24"/>
                <w:szCs w:val="22"/>
                <w:highlight w:val="none"/>
                <w:lang w:eastAsia="zh-CN"/>
              </w:rPr>
            </w:pPr>
            <w:r>
              <w:rPr>
                <w:rFonts w:hint="eastAsia" w:cs="Times New Roman"/>
                <w:color w:val="auto"/>
                <w:sz w:val="24"/>
                <w:szCs w:val="24"/>
                <w:highlight w:val="none"/>
                <w:lang w:val="en-US" w:eastAsia="zh-CN"/>
              </w:rPr>
              <w:t>本项目有组织废气主要为破碎、筛分、搅拌和皮带输送过程产生的废气，废气中主要污染物为颗粒物，</w:t>
            </w:r>
            <w:r>
              <w:rPr>
                <w:rFonts w:hint="default" w:ascii="Times New Roman" w:hAnsi="Times New Roman" w:cs="Times New Roman"/>
                <w:color w:val="auto"/>
                <w:sz w:val="24"/>
                <w:szCs w:val="22"/>
                <w:highlight w:val="none"/>
                <w:lang w:eastAsia="zh-CN"/>
              </w:rPr>
              <w:t>废气</w:t>
            </w:r>
            <w:r>
              <w:rPr>
                <w:rFonts w:hint="default" w:ascii="Times New Roman" w:hAnsi="Times New Roman" w:cs="Times New Roman"/>
                <w:color w:val="auto"/>
                <w:sz w:val="24"/>
                <w:szCs w:val="22"/>
                <w:highlight w:val="none"/>
                <w:lang w:val="en-US" w:eastAsia="zh-CN"/>
              </w:rPr>
              <w:t>各自</w:t>
            </w:r>
            <w:r>
              <w:rPr>
                <w:rFonts w:hint="eastAsia" w:cs="Times New Roman"/>
                <w:color w:val="auto"/>
                <w:sz w:val="24"/>
                <w:szCs w:val="22"/>
                <w:highlight w:val="none"/>
                <w:lang w:eastAsia="zh-CN"/>
              </w:rPr>
              <w:t>集气</w:t>
            </w:r>
            <w:r>
              <w:rPr>
                <w:rFonts w:hint="default" w:ascii="Times New Roman" w:hAnsi="Times New Roman" w:cs="Times New Roman"/>
                <w:color w:val="auto"/>
                <w:sz w:val="24"/>
                <w:szCs w:val="22"/>
                <w:highlight w:val="none"/>
                <w:lang w:eastAsia="zh-CN"/>
              </w:rPr>
              <w:t>，统一经1套</w:t>
            </w:r>
            <w:r>
              <w:rPr>
                <w:rFonts w:hint="eastAsia" w:cs="Times New Roman"/>
                <w:color w:val="auto"/>
                <w:sz w:val="24"/>
                <w:szCs w:val="22"/>
                <w:highlight w:val="none"/>
                <w:lang w:val="en-US" w:eastAsia="zh-CN"/>
              </w:rPr>
              <w:t>脉冲</w:t>
            </w:r>
            <w:r>
              <w:rPr>
                <w:rFonts w:hint="default" w:ascii="Times New Roman" w:hAnsi="Times New Roman" w:cs="Times New Roman"/>
                <w:color w:val="auto"/>
                <w:sz w:val="24"/>
                <w:szCs w:val="22"/>
                <w:highlight w:val="none"/>
                <w:lang w:eastAsia="zh-CN"/>
              </w:rPr>
              <w:t>布袋除尘器处理后，通过1</w:t>
            </w:r>
            <w:r>
              <w:rPr>
                <w:rFonts w:hint="default" w:ascii="Times New Roman" w:hAnsi="Times New Roman" w:cs="Times New Roman"/>
                <w:color w:val="auto"/>
                <w:sz w:val="24"/>
                <w:szCs w:val="22"/>
                <w:highlight w:val="none"/>
                <w:lang w:val="en-US" w:eastAsia="zh-CN"/>
              </w:rPr>
              <w:t>根</w:t>
            </w:r>
            <w:r>
              <w:rPr>
                <w:rFonts w:hint="default" w:ascii="Times New Roman" w:hAnsi="Times New Roman" w:cs="Times New Roman"/>
                <w:color w:val="auto"/>
                <w:sz w:val="24"/>
                <w:szCs w:val="22"/>
                <w:highlight w:val="none"/>
                <w:lang w:eastAsia="zh-CN"/>
              </w:rPr>
              <w:t>15m高排气筒排放</w:t>
            </w:r>
            <w:r>
              <w:rPr>
                <w:rFonts w:hint="default" w:ascii="Times New Roman" w:hAnsi="Times New Roman" w:cs="Times New Roman"/>
                <w:color w:val="auto"/>
                <w:sz w:val="24"/>
                <w:szCs w:val="24"/>
                <w:highlight w:val="none"/>
                <w:lang w:val="en-US" w:eastAsia="zh-CN"/>
              </w:rPr>
              <w:t>（DA0</w:t>
            </w:r>
            <w:r>
              <w:rPr>
                <w:rFonts w:hint="eastAsia" w:cs="Times New Roman"/>
                <w:color w:val="auto"/>
                <w:sz w:val="24"/>
                <w:szCs w:val="24"/>
                <w:highlight w:val="none"/>
                <w:lang w:val="en-US" w:eastAsia="zh-CN"/>
              </w:rPr>
              <w:t>03</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2"/>
                <w:highlight w:val="none"/>
                <w:lang w:eastAsia="zh-CN"/>
              </w:rPr>
              <w:t>。</w:t>
            </w:r>
          </w:p>
          <w:p>
            <w:pPr>
              <w:pStyle w:val="81"/>
              <w:keepNext w:val="0"/>
              <w:keepLines w:val="0"/>
              <w:pageBreakBefore w:val="0"/>
              <w:widowControl w:val="0"/>
              <w:kinsoku/>
              <w:wordWrap/>
              <w:overflowPunct/>
              <w:topLinePunct w:val="0"/>
              <w:bidi w:val="0"/>
              <w:adjustRightInd w:val="0"/>
              <w:snapToGrid w:val="0"/>
              <w:ind w:firstLine="482"/>
              <w:textAlignment w:val="auto"/>
              <w:rPr>
                <w:rFonts w:hint="eastAsia" w:ascii="Times New Roman" w:hAnsi="Times New Roman" w:eastAsia="宋体" w:cs="Times New Roman"/>
                <w:bCs/>
                <w:snapToGrid/>
                <w:color w:val="auto"/>
                <w:kern w:val="2"/>
                <w:sz w:val="24"/>
                <w:szCs w:val="24"/>
                <w:highlight w:val="none"/>
                <w:lang w:val="en-US" w:eastAsia="zh-CN" w:bidi="ar-SA"/>
              </w:rPr>
            </w:pPr>
            <w:r>
              <w:rPr>
                <w:rFonts w:hint="eastAsia" w:ascii="Times New Roman" w:hAnsi="Times New Roman" w:eastAsia="宋体" w:cs="Times New Roman"/>
                <w:bCs/>
                <w:snapToGrid/>
                <w:color w:val="auto"/>
                <w:kern w:val="2"/>
                <w:sz w:val="24"/>
                <w:szCs w:val="24"/>
                <w:highlight w:val="none"/>
                <w:lang w:val="en-US" w:eastAsia="zh-CN" w:bidi="ar-SA"/>
              </w:rPr>
              <w:t>低压长袋脉冲袋式收尘器是在总结各种袋式除尘器的基础上发展起来的一种新型、高效袋式除尘器。主要由灰斗、过滤室、净气室、支架、提升阀、喷吹清灰装置等部分组成。工作时，含尘气体由进风口进入，经过灰斗时，气体中部分大颗粒粉尘受惯性力作用被分离出来，直接落入灰斗底部，较小的粉尘随气流转折向上进入过滤室，并被阻留在滤袋外表面，净化了的烟气进入袋内，净化后的气体经滤袋口进入上箱体后，由出风口排出。低压长袋脉冲袋式收尘器是具有先进水平的高效袋式除尘设备，是一种处理风量大、清灰效果好、除尘效率高、运行可靠、维护方便、占地面积小的大型除尘设备。</w:t>
            </w:r>
          </w:p>
          <w:p>
            <w:pPr>
              <w:pStyle w:val="89"/>
              <w:keepNext w:val="0"/>
              <w:keepLines w:val="0"/>
              <w:pageBreakBefore w:val="0"/>
              <w:widowControl w:val="0"/>
              <w:kinsoku/>
              <w:wordWrap/>
              <w:overflowPunct/>
              <w:topLinePunct w:val="0"/>
              <w:autoSpaceDE/>
              <w:autoSpaceDN/>
              <w:bidi w:val="0"/>
              <w:adjustRightInd w:val="0"/>
              <w:snapToGrid w:val="0"/>
              <w:ind w:firstLine="480"/>
              <w:textAlignment w:val="auto"/>
            </w:pPr>
            <w:r>
              <w:rPr>
                <w:rFonts w:hint="eastAsia" w:ascii="Times New Roman" w:hAnsi="Times New Roman" w:eastAsia="宋体" w:cs="Times New Roman"/>
                <w:bCs/>
                <w:snapToGrid/>
                <w:color w:val="auto"/>
                <w:kern w:val="2"/>
                <w:sz w:val="24"/>
                <w:szCs w:val="24"/>
                <w:highlight w:val="none"/>
                <w:lang w:val="en-US" w:eastAsia="zh-CN" w:bidi="ar-SA"/>
              </w:rPr>
              <w:t>根据《环境保护产品技术要求 脉冲喷吹类袋式除尘器》(HJ/T328-2006)中对布袋除尘器性能要求除尘效率需≥99.8%，故本项目低压长袋脉冲袋式收尘器除尘效率可达99%以上。处理后粉尘排放浓度可以</w:t>
            </w:r>
            <w:bookmarkStart w:id="222" w:name="_Hlk489468147"/>
            <w:r>
              <w:rPr>
                <w:rFonts w:hint="eastAsia" w:ascii="Times New Roman" w:hAnsi="Times New Roman" w:eastAsia="宋体" w:cs="Times New Roman"/>
                <w:bCs/>
                <w:snapToGrid/>
                <w:color w:val="auto"/>
                <w:kern w:val="2"/>
                <w:sz w:val="24"/>
                <w:szCs w:val="24"/>
                <w:highlight w:val="none"/>
                <w:lang w:val="en-US" w:eastAsia="zh-CN" w:bidi="ar-SA"/>
              </w:rPr>
              <w:t>符合《大气污染物综合排放标准》(GB16297-1996)</w:t>
            </w:r>
            <w:r>
              <w:rPr>
                <w:rFonts w:hint="default" w:ascii="Times New Roman" w:hAnsi="Times New Roman" w:cs="Times New Roman"/>
                <w:color w:val="auto"/>
                <w:spacing w:val="0"/>
                <w:sz w:val="24"/>
                <w:szCs w:val="24"/>
              </w:rPr>
              <w:t>表2中二级排放限值</w:t>
            </w:r>
            <w:r>
              <w:rPr>
                <w:rStyle w:val="93"/>
                <w:rFonts w:hint="eastAsia" w:ascii="Times New Roman" w:hAnsi="Times New Roman" w:eastAsia="宋体" w:cs="Times New Roman"/>
                <w:color w:val="auto"/>
                <w:sz w:val="24"/>
                <w:szCs w:val="24"/>
                <w:highlight w:val="none"/>
                <w:vertAlign w:val="baseline"/>
                <w:lang w:val="en-US" w:eastAsia="zh-CN" w:bidi="ar"/>
              </w:rPr>
              <w:t>（</w:t>
            </w:r>
            <w:r>
              <w:rPr>
                <w:rStyle w:val="93"/>
                <w:rFonts w:hint="default" w:ascii="Times New Roman" w:hAnsi="Times New Roman" w:eastAsia="宋体" w:cs="Times New Roman"/>
                <w:color w:val="auto"/>
                <w:sz w:val="24"/>
                <w:szCs w:val="24"/>
                <w:highlight w:val="none"/>
                <w:vertAlign w:val="baseline"/>
                <w:lang w:val="en-US" w:eastAsia="zh-CN" w:bidi="ar"/>
              </w:rPr>
              <w:t>颗粒</w:t>
            </w:r>
            <w:r>
              <w:rPr>
                <w:rStyle w:val="93"/>
                <w:rFonts w:hint="eastAsia" w:ascii="Times New Roman" w:hAnsi="Times New Roman" w:eastAsia="宋体" w:cs="Times New Roman"/>
                <w:color w:val="auto"/>
                <w:sz w:val="24"/>
                <w:szCs w:val="24"/>
                <w:highlight w:val="none"/>
                <w:vertAlign w:val="baseline"/>
                <w:lang w:val="en-US" w:eastAsia="zh-CN" w:bidi="ar"/>
              </w:rPr>
              <w:t>物</w:t>
            </w:r>
            <w:r>
              <w:rPr>
                <w:rStyle w:val="93"/>
                <w:rFonts w:hint="default" w:ascii="Times New Roman" w:hAnsi="Times New Roman" w:eastAsia="宋体" w:cs="Times New Roman"/>
                <w:color w:val="auto"/>
                <w:sz w:val="24"/>
                <w:szCs w:val="24"/>
                <w:highlight w:val="none"/>
                <w:vertAlign w:val="baseline"/>
                <w:lang w:val="en-US" w:eastAsia="zh-CN" w:bidi="ar"/>
              </w:rPr>
              <w:t>排放浓度&lt;</w:t>
            </w:r>
            <w:r>
              <w:rPr>
                <w:rStyle w:val="93"/>
                <w:rFonts w:hint="eastAsia" w:ascii="Times New Roman" w:hAnsi="Times New Roman" w:eastAsia="宋体" w:cs="Times New Roman"/>
                <w:color w:val="auto"/>
                <w:sz w:val="24"/>
                <w:szCs w:val="24"/>
                <w:highlight w:val="none"/>
                <w:vertAlign w:val="baseline"/>
                <w:lang w:val="en-US" w:eastAsia="zh-CN" w:bidi="ar"/>
              </w:rPr>
              <w:t>12</w:t>
            </w:r>
            <w:r>
              <w:rPr>
                <w:rStyle w:val="93"/>
                <w:rFonts w:hint="default" w:ascii="Times New Roman" w:hAnsi="Times New Roman" w:eastAsia="宋体" w:cs="Times New Roman"/>
                <w:color w:val="auto"/>
                <w:sz w:val="24"/>
                <w:szCs w:val="24"/>
                <w:highlight w:val="none"/>
                <w:vertAlign w:val="baseline"/>
                <w:lang w:val="en-US" w:eastAsia="zh-CN" w:bidi="ar"/>
              </w:rPr>
              <w:t>0mg/m</w:t>
            </w:r>
            <w:r>
              <w:rPr>
                <w:rStyle w:val="93"/>
                <w:rFonts w:hint="default" w:ascii="Times New Roman" w:hAnsi="Times New Roman" w:eastAsia="宋体" w:cs="Times New Roman"/>
                <w:color w:val="auto"/>
                <w:sz w:val="24"/>
                <w:szCs w:val="24"/>
                <w:highlight w:val="none"/>
                <w:vertAlign w:val="superscript"/>
                <w:lang w:val="en-US" w:eastAsia="zh-CN" w:bidi="ar"/>
              </w:rPr>
              <w:t>3</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bookmarkEnd w:id="222"/>
          </w:p>
          <w:p>
            <w:pPr>
              <w:pStyle w:val="89"/>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0000FF"/>
                <w:sz w:val="24"/>
                <w:szCs w:val="24"/>
                <w:highlight w:val="none"/>
                <w:lang w:val="en-US" w:eastAsia="zh-CN"/>
              </w:rPr>
            </w:pPr>
            <w:r>
              <w:rPr>
                <w:rFonts w:hint="eastAsia" w:cs="Times New Roman"/>
                <w:color w:val="auto"/>
                <w:sz w:val="24"/>
                <w:szCs w:val="24"/>
                <w:highlight w:val="none"/>
                <w:lang w:val="en-US" w:eastAsia="zh-CN"/>
              </w:rPr>
              <w:t>因此</w:t>
            </w:r>
            <w:r>
              <w:rPr>
                <w:rFonts w:hint="eastAsia" w:cs="Times New Roman"/>
                <w:color w:val="auto"/>
                <w:highlight w:val="none"/>
                <w:lang w:val="en-US" w:eastAsia="zh-CN"/>
              </w:rPr>
              <w:t>，本项目废气各自集气后纳入1套布袋除尘器处理，尾气通过1根15m高排气筒（DA003）排放</w:t>
            </w:r>
            <w:r>
              <w:rPr>
                <w:rFonts w:hint="default" w:ascii="Times New Roman" w:hAnsi="Times New Roman" w:cs="Times New Roman"/>
                <w:color w:val="auto"/>
                <w:sz w:val="24"/>
                <w:szCs w:val="24"/>
                <w:highlight w:val="none"/>
                <w:lang w:val="en-US" w:eastAsia="zh-CN"/>
              </w:rPr>
              <w:t>，能够</w:t>
            </w:r>
            <w:r>
              <w:rPr>
                <w:rFonts w:hint="default" w:ascii="Times New Roman" w:hAnsi="Times New Roman" w:cs="Times New Roman"/>
                <w:color w:val="auto"/>
                <w:highlight w:val="none"/>
              </w:rPr>
              <w:t>达标排放，对周围环境影响不大，治理措施可行。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bookmarkStart w:id="223" w:name="_Toc9473"/>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无组织</w:t>
            </w:r>
            <w:r>
              <w:rPr>
                <w:rFonts w:hint="default" w:ascii="Times New Roman" w:hAnsi="Times New Roman" w:cs="Times New Roman"/>
                <w:color w:val="auto"/>
                <w:sz w:val="24"/>
                <w:highlight w:val="none"/>
              </w:rPr>
              <w:t>废气治理</w:t>
            </w:r>
            <w:bookmarkEnd w:id="223"/>
          </w:p>
          <w:p>
            <w:pPr>
              <w:pStyle w:val="89"/>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cs="Times New Roman"/>
                <w:color w:val="auto"/>
                <w:highlight w:val="none"/>
              </w:rPr>
            </w:pPr>
            <w:r>
              <w:rPr>
                <w:rFonts w:hint="eastAsia" w:cs="Times New Roman"/>
                <w:color w:val="auto"/>
                <w:sz w:val="24"/>
                <w:szCs w:val="24"/>
                <w:highlight w:val="none"/>
                <w:lang w:val="en-US" w:eastAsia="zh-CN"/>
              </w:rPr>
              <w:t>技改</w:t>
            </w:r>
            <w:r>
              <w:rPr>
                <w:rFonts w:hint="default" w:ascii="Times New Roman" w:hAnsi="Times New Roman" w:cs="Times New Roman"/>
                <w:color w:val="auto"/>
                <w:sz w:val="24"/>
                <w:szCs w:val="24"/>
                <w:highlight w:val="none"/>
                <w:lang w:val="en-US" w:eastAsia="zh-CN"/>
              </w:rPr>
              <w:t>项目</w:t>
            </w:r>
            <w:r>
              <w:rPr>
                <w:rFonts w:hint="eastAsia" w:cs="Times New Roman"/>
                <w:color w:val="auto"/>
                <w:sz w:val="24"/>
                <w:szCs w:val="24"/>
                <w:highlight w:val="none"/>
                <w:lang w:val="en-US" w:eastAsia="zh-CN"/>
              </w:rPr>
              <w:t>无组织废气主要为</w:t>
            </w:r>
            <w:r>
              <w:rPr>
                <w:rFonts w:hint="eastAsia" w:cs="Times New Roman"/>
                <w:color w:val="auto"/>
                <w:sz w:val="24"/>
                <w:highlight w:val="none"/>
                <w:lang w:val="en-US" w:eastAsia="zh-CN"/>
              </w:rPr>
              <w:t>生产过程中外溢的粉尘废气及堆场产生的无组织粉尘废气。</w:t>
            </w:r>
            <w:r>
              <w:rPr>
                <w:rFonts w:hint="eastAsia" w:cs="Times New Roman"/>
                <w:color w:val="auto"/>
                <w:sz w:val="24"/>
                <w:szCs w:val="24"/>
                <w:highlight w:val="none"/>
                <w:lang w:val="en-US" w:eastAsia="zh-CN"/>
              </w:rPr>
              <w:t>矿渣堆棚四周围挡，加盖防雨棚，地面均已硬化，堆场在矿渣堆棚内，堆场区域四周设置围挡，</w:t>
            </w:r>
            <w:r>
              <w:rPr>
                <w:rFonts w:hint="eastAsia" w:cs="Times New Roman"/>
                <w:color w:val="auto"/>
                <w:sz w:val="24"/>
                <w:highlight w:val="none"/>
                <w:lang w:val="en-US" w:eastAsia="zh-CN"/>
              </w:rPr>
              <w:t>经采取洒水抑尘及厂区通风等措施，</w:t>
            </w:r>
            <w:r>
              <w:rPr>
                <w:rFonts w:hint="default" w:ascii="Times New Roman" w:hAnsi="Times New Roman" w:eastAsia="宋体" w:cs="Times New Roman"/>
                <w:color w:val="auto"/>
                <w:sz w:val="24"/>
                <w:highlight w:val="none"/>
                <w:lang w:val="en-US" w:eastAsia="zh-CN"/>
              </w:rPr>
              <w:t>减少无组织排放</w:t>
            </w:r>
            <w:r>
              <w:rPr>
                <w:rFonts w:hint="eastAsia" w:cs="Times New Roman"/>
                <w:color w:val="auto"/>
                <w:sz w:val="24"/>
                <w:highlight w:val="none"/>
                <w:lang w:val="en-US" w:eastAsia="zh-CN"/>
              </w:rPr>
              <w:t>；在破碎、筛分、搅拌和皮带传送过程中均采用</w:t>
            </w:r>
            <w:r>
              <w:rPr>
                <w:rFonts w:hint="default" w:ascii="Times New Roman" w:hAnsi="Times New Roman" w:eastAsia="宋体" w:cs="Times New Roman"/>
                <w:color w:val="auto"/>
                <w:sz w:val="24"/>
                <w:highlight w:val="none"/>
                <w:lang w:val="en-US" w:eastAsia="zh-CN"/>
              </w:rPr>
              <w:t>密闭等操作措施减少无组织排放</w:t>
            </w:r>
            <w:r>
              <w:rPr>
                <w:rFonts w:hint="eastAsia" w:cs="Times New Roman"/>
                <w:color w:val="auto"/>
                <w:sz w:val="24"/>
                <w:highlight w:val="none"/>
                <w:lang w:val="en-US" w:eastAsia="zh-CN"/>
              </w:rPr>
              <w:t>，加强车间通风，洒水抑尘；钢渣在运输过程中，会产生少量的运输粉尘，在运输过程中需降低车速，减少颠簸，同时洒水抑尘，并用车载篷布遮盖，减少在运输过程中的无组织粉尘，经合理处置后，运输过程产生的粉尘很少</w:t>
            </w:r>
            <w:r>
              <w:rPr>
                <w:rFonts w:hint="default" w:ascii="Times New Roman" w:hAnsi="Times New Roman" w:cs="Times New Roman"/>
                <w:color w:val="auto"/>
                <w:sz w:val="24"/>
                <w:szCs w:val="24"/>
                <w:highlight w:val="none"/>
                <w:lang w:val="en-US" w:eastAsia="zh-CN"/>
              </w:rPr>
              <w:t>，减少对周边环境的影响，能够达标</w:t>
            </w:r>
            <w:r>
              <w:rPr>
                <w:rFonts w:hint="default" w:ascii="Times New Roman" w:hAnsi="Times New Roman" w:cs="Times New Roman"/>
                <w:color w:val="auto"/>
                <w:highlight w:val="none"/>
              </w:rPr>
              <w:t>排放，对周围环境影响不大，治理措施可行。</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224" w:name="_Toc27882"/>
            <w:bookmarkStart w:id="225" w:name="_Toc28174"/>
            <w:r>
              <w:rPr>
                <w:rFonts w:hint="default" w:ascii="Times New Roman" w:hAnsi="Times New Roman" w:eastAsia="宋体" w:cs="Times New Roman"/>
                <w:b/>
                <w:bCs/>
                <w:color w:val="auto"/>
                <w:highlight w:val="none"/>
                <w:lang w:val="en-US" w:eastAsia="zh-CN"/>
              </w:rPr>
              <w:t>4.2.2  废水</w:t>
            </w:r>
            <w:bookmarkEnd w:id="224"/>
            <w:bookmarkEnd w:id="225"/>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bookmarkStart w:id="226" w:name="_Toc5447"/>
            <w:bookmarkStart w:id="227" w:name="_Toc30998"/>
            <w:bookmarkStart w:id="228" w:name="_Toc13986"/>
            <w:bookmarkStart w:id="229" w:name="_Toc18026"/>
            <w:bookmarkStart w:id="230" w:name="_Toc4279"/>
            <w:bookmarkStart w:id="231" w:name="_Toc27010"/>
            <w:r>
              <w:rPr>
                <w:rFonts w:hint="default" w:ascii="Times New Roman" w:hAnsi="Times New Roman" w:eastAsia="宋体" w:cs="Times New Roman"/>
                <w:b/>
                <w:bCs/>
                <w:snapToGrid/>
                <w:color w:val="auto"/>
                <w:kern w:val="0"/>
                <w:sz w:val="24"/>
                <w:szCs w:val="24"/>
                <w:highlight w:val="none"/>
                <w:lang w:val="en-US" w:eastAsia="zh-CN" w:bidi="ar-SA"/>
              </w:rPr>
              <w:t>4.2.2.1废水污染源</w:t>
            </w:r>
            <w:bookmarkEnd w:id="226"/>
            <w:bookmarkEnd w:id="227"/>
            <w:bookmarkEnd w:id="228"/>
            <w:bookmarkEnd w:id="229"/>
            <w:bookmarkEnd w:id="230"/>
            <w:bookmarkEnd w:id="231"/>
          </w:p>
          <w:p>
            <w:pPr>
              <w:pStyle w:val="4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抑尘用水：本项目对原料堆场及产品堆场等产生粉尘区域，通过洒水抑尘降低粉尘对周边环境的影响，用水量约为3</w:t>
            </w:r>
            <w:r>
              <w:rPr>
                <w:rFonts w:hint="eastAsia" w:cs="Times New Roman"/>
                <w:color w:val="auto"/>
                <w:sz w:val="24"/>
                <w:highlight w:val="none"/>
                <w:lang w:val="en-US" w:eastAsia="zh-CN"/>
              </w:rPr>
              <w:t>0</w:t>
            </w:r>
            <w:r>
              <w:rPr>
                <w:rFonts w:hint="default" w:ascii="Times New Roman" w:hAnsi="Times New Roman" w:cs="Times New Roman"/>
                <w:color w:val="auto"/>
                <w:sz w:val="24"/>
                <w:highlight w:val="none"/>
                <w:lang w:val="en-US" w:eastAsia="zh-CN"/>
              </w:rPr>
              <w:t>00m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/a，由当地自来水管网提供</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水分进入到产品或挥发，无工艺废水产生。</w:t>
            </w:r>
          </w:p>
          <w:p>
            <w:pPr>
              <w:pStyle w:val="80"/>
              <w:keepNext w:val="0"/>
              <w:keepLines w:val="0"/>
              <w:pageBreakBefore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snapToGrid w:val="0"/>
                <w:color w:val="auto"/>
                <w:kern w:val="0"/>
                <w:highlight w:val="none"/>
                <w:lang w:val="en-US" w:eastAsia="zh-CN"/>
              </w:rPr>
            </w:pPr>
            <w:r>
              <w:rPr>
                <w:rFonts w:hint="eastAsia" w:ascii="Times New Roman" w:hAnsi="Times New Roman" w:eastAsia="宋体" w:cs="Times New Roman"/>
                <w:snapToGrid w:val="0"/>
                <w:color w:val="auto"/>
                <w:kern w:val="0"/>
                <w:highlight w:val="none"/>
                <w:lang w:val="en-US" w:eastAsia="zh-CN"/>
              </w:rPr>
              <w:t>（</w:t>
            </w:r>
            <w:r>
              <w:rPr>
                <w:rFonts w:hint="eastAsia" w:ascii="Times New Roman" w:hAnsi="Times New Roman" w:cs="Times New Roman"/>
                <w:snapToGrid w:val="0"/>
                <w:color w:val="auto"/>
                <w:kern w:val="0"/>
                <w:highlight w:val="none"/>
                <w:lang w:val="en-US" w:eastAsia="zh-CN"/>
              </w:rPr>
              <w:t>2</w:t>
            </w:r>
            <w:r>
              <w:rPr>
                <w:rFonts w:hint="eastAsia" w:ascii="Times New Roman" w:hAnsi="Times New Roman" w:eastAsia="宋体" w:cs="Times New Roman"/>
                <w:snapToGrid w:val="0"/>
                <w:color w:val="auto"/>
                <w:kern w:val="0"/>
                <w:highlight w:val="none"/>
                <w:lang w:val="en-US" w:eastAsia="zh-CN"/>
              </w:rPr>
              <w:t>）初期雨水</w:t>
            </w:r>
          </w:p>
          <w:p>
            <w:pPr>
              <w:pStyle w:val="100"/>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在原</w:t>
            </w:r>
            <w:r>
              <w:rPr>
                <w:rFonts w:hint="eastAsia" w:ascii="Times New Roman" w:hAnsi="Times New Roman" w:cs="Times New Roman"/>
                <w:b w:val="0"/>
                <w:bCs w:val="0"/>
                <w:color w:val="auto"/>
                <w:sz w:val="24"/>
                <w:szCs w:val="24"/>
                <w:highlight w:val="none"/>
                <w:lang w:val="en-US" w:eastAsia="zh-CN"/>
              </w:rPr>
              <w:t>矿</w:t>
            </w:r>
            <w:r>
              <w:rPr>
                <w:rFonts w:hint="default" w:ascii="Times New Roman" w:hAnsi="Times New Roman" w:eastAsia="宋体" w:cs="Times New Roman"/>
                <w:b w:val="0"/>
                <w:bCs w:val="0"/>
                <w:color w:val="auto"/>
                <w:sz w:val="24"/>
                <w:szCs w:val="24"/>
                <w:highlight w:val="none"/>
                <w:lang w:val="en-US" w:eastAsia="zh-CN"/>
              </w:rPr>
              <w:t>渣堆棚内建设，不新增用地，初期雨水包含在现有工程雨水内，依托现有的初期雨水池收集处理。</w:t>
            </w:r>
            <w:r>
              <w:rPr>
                <w:rFonts w:hint="eastAsia" w:ascii="Times New Roman" w:hAnsi="Times New Roman" w:eastAsia="宋体" w:cs="Times New Roman"/>
                <w:b w:val="0"/>
                <w:bCs w:val="0"/>
                <w:color w:val="auto"/>
                <w:sz w:val="24"/>
                <w:szCs w:val="24"/>
                <w:highlight w:val="none"/>
                <w:lang w:val="en-US" w:eastAsia="zh-CN"/>
              </w:rPr>
              <w:t>本项目初期雨水已纳入全厂初期雨水总量。</w:t>
            </w:r>
          </w:p>
          <w:p>
            <w:pPr>
              <w:pStyle w:val="100"/>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sz w:val="24"/>
                <w:szCs w:val="24"/>
                <w:highlight w:val="none"/>
                <w:lang w:eastAsia="zh-CN"/>
              </w:rPr>
            </w:pPr>
            <w:r>
              <w:rPr>
                <w:rFonts w:hint="eastAsia" w:ascii="Times New Roman" w:hAnsi="Times New Roman" w:eastAsia="宋体" w:cs="Times New Roman"/>
                <w:snapToGrid w:val="0"/>
                <w:color w:val="auto"/>
                <w:kern w:val="0"/>
                <w:sz w:val="24"/>
                <w:szCs w:val="24"/>
                <w:highlight w:val="none"/>
                <w:lang w:val="en-US" w:eastAsia="zh-CN" w:bidi="ar-SA"/>
              </w:rPr>
              <w:t>（3）</w:t>
            </w:r>
            <w:r>
              <w:rPr>
                <w:rFonts w:hint="default" w:ascii="Times New Roman" w:hAnsi="Times New Roman" w:eastAsia="宋体" w:cs="Times New Roman"/>
                <w:b w:val="0"/>
                <w:bCs w:val="0"/>
                <w:color w:val="auto"/>
                <w:sz w:val="24"/>
                <w:szCs w:val="24"/>
                <w:highlight w:val="none"/>
                <w:lang w:val="en-US" w:eastAsia="zh-CN"/>
              </w:rPr>
              <w:t>项目无生产废水产生。项目生产的劳动定员由</w:t>
            </w:r>
            <w:r>
              <w:rPr>
                <w:rFonts w:hint="eastAsia" w:ascii="Times New Roman" w:hAnsi="Times New Roman" w:eastAsia="宋体" w:cs="Times New Roman"/>
                <w:b w:val="0"/>
                <w:bCs w:val="0"/>
                <w:color w:val="auto"/>
                <w:sz w:val="24"/>
                <w:szCs w:val="24"/>
                <w:highlight w:val="none"/>
                <w:lang w:val="en-US" w:eastAsia="zh-CN"/>
              </w:rPr>
              <w:t>福安市青拓环保建材有限公司内部</w:t>
            </w:r>
            <w:r>
              <w:rPr>
                <w:rFonts w:hint="default" w:ascii="Times New Roman" w:hAnsi="Times New Roman" w:eastAsia="宋体" w:cs="Times New Roman"/>
                <w:b w:val="0"/>
                <w:bCs w:val="0"/>
                <w:color w:val="auto"/>
                <w:sz w:val="24"/>
                <w:szCs w:val="24"/>
                <w:highlight w:val="none"/>
                <w:lang w:val="en-US" w:eastAsia="zh-CN"/>
              </w:rPr>
              <w:t>调配，厂区不新增加新的人员</w:t>
            </w:r>
            <w:r>
              <w:rPr>
                <w:rFonts w:hint="eastAsia" w:ascii="Times New Roman" w:hAnsi="Times New Roman" w:eastAsia="宋体" w:cs="Times New Roman"/>
                <w:b w:val="0"/>
                <w:bCs w:val="0"/>
                <w:color w:val="auto"/>
                <w:sz w:val="24"/>
                <w:szCs w:val="24"/>
                <w:highlight w:val="none"/>
                <w:lang w:val="en-US" w:eastAsia="zh-CN"/>
              </w:rPr>
              <w:t>，因此</w:t>
            </w:r>
            <w:r>
              <w:rPr>
                <w:rFonts w:hint="default" w:ascii="Times New Roman" w:hAnsi="Times New Roman" w:eastAsia="宋体" w:cs="Times New Roman"/>
                <w:b w:val="0"/>
                <w:bCs w:val="0"/>
                <w:color w:val="auto"/>
                <w:sz w:val="24"/>
                <w:szCs w:val="24"/>
                <w:highlight w:val="none"/>
                <w:lang w:val="en-US" w:eastAsia="zh-CN"/>
              </w:rPr>
              <w:t>不增加生活污水的排放</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生活污水依托厂区</w:t>
            </w:r>
            <w:r>
              <w:rPr>
                <w:rFonts w:hint="eastAsia" w:ascii="Times New Roman" w:hAnsi="Times New Roman" w:eastAsia="宋体" w:cs="Times New Roman"/>
                <w:b w:val="0"/>
                <w:bCs w:val="0"/>
                <w:color w:val="auto"/>
                <w:sz w:val="24"/>
                <w:szCs w:val="24"/>
                <w:highlight w:val="none"/>
                <w:lang w:val="en-US" w:eastAsia="zh-CN"/>
              </w:rPr>
              <w:t>内地埋式化粪池</w:t>
            </w:r>
            <w:r>
              <w:rPr>
                <w:rFonts w:hint="default" w:ascii="Times New Roman" w:hAnsi="Times New Roman" w:eastAsia="宋体" w:cs="Times New Roman"/>
                <w:b w:val="0"/>
                <w:bCs w:val="0"/>
                <w:color w:val="auto"/>
                <w:sz w:val="24"/>
                <w:szCs w:val="24"/>
                <w:highlight w:val="none"/>
                <w:lang w:val="en-US" w:eastAsia="zh-CN"/>
              </w:rPr>
              <w:t>处理后排放</w:t>
            </w:r>
            <w:r>
              <w:rPr>
                <w:rFonts w:hint="eastAsia" w:ascii="Times New Roman" w:hAnsi="Times New Roman" w:eastAsia="宋体" w:cs="Times New Roman"/>
                <w:b w:val="0"/>
                <w:bCs w:val="0"/>
                <w:color w:val="auto"/>
                <w:sz w:val="24"/>
                <w:szCs w:val="24"/>
                <w:highlight w:val="none"/>
                <w:lang w:val="en-US" w:eastAsia="zh-CN"/>
              </w:rPr>
              <w:t>湾坞污水处理厂</w:t>
            </w:r>
            <w:r>
              <w:rPr>
                <w:rFonts w:hint="default" w:ascii="Times New Roman" w:hAnsi="Times New Roman" w:eastAsia="宋体" w:cs="Times New Roman"/>
                <w:b w:val="0"/>
                <w:bCs w:val="0"/>
                <w:color w:val="auto"/>
                <w:sz w:val="24"/>
                <w:szCs w:val="24"/>
                <w:highlight w:val="none"/>
                <w:lang w:val="en-US" w:eastAsia="zh-CN"/>
              </w:rPr>
              <w:t>进一步处理</w:t>
            </w:r>
            <w:r>
              <w:rPr>
                <w:rFonts w:hint="eastAsia" w:ascii="Times New Roman" w:hAnsi="Times New Roman" w:eastAsia="宋体" w:cs="Times New Roman"/>
                <w:b w:val="0"/>
                <w:bCs w:val="0"/>
                <w:color w:val="auto"/>
                <w:sz w:val="24"/>
                <w:szCs w:val="24"/>
                <w:highlight w:val="none"/>
                <w:lang w:val="en-US" w:eastAsia="zh-CN"/>
              </w:rPr>
              <w:t>，园区</w:t>
            </w:r>
            <w:r>
              <w:rPr>
                <w:rFonts w:hint="default" w:ascii="Times New Roman" w:hAnsi="Times New Roman" w:eastAsia="宋体" w:cs="Times New Roman"/>
                <w:b w:val="0"/>
                <w:bCs w:val="0"/>
                <w:color w:val="auto"/>
                <w:sz w:val="24"/>
                <w:szCs w:val="24"/>
                <w:highlight w:val="none"/>
                <w:lang w:val="en-US" w:eastAsia="zh-CN"/>
              </w:rPr>
              <w:t>污水管网已建成</w:t>
            </w:r>
            <w:r>
              <w:rPr>
                <w:rFonts w:hint="default" w:ascii="Times New Roman" w:hAnsi="Times New Roman" w:cs="Times New Roman"/>
                <w:color w:val="auto"/>
                <w:sz w:val="24"/>
                <w:szCs w:val="24"/>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232" w:name="_Toc12780"/>
            <w:bookmarkStart w:id="233" w:name="_Toc6432"/>
            <w:r>
              <w:rPr>
                <w:rFonts w:hint="default" w:ascii="Times New Roman" w:hAnsi="Times New Roman" w:eastAsia="宋体" w:cs="Times New Roman"/>
                <w:b/>
                <w:bCs/>
                <w:color w:val="auto"/>
                <w:highlight w:val="none"/>
                <w:lang w:val="en-US" w:eastAsia="zh-CN"/>
              </w:rPr>
              <w:t>4.2.3  噪声</w:t>
            </w:r>
            <w:bookmarkEnd w:id="232"/>
            <w:bookmarkEnd w:id="233"/>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4.2.3.1  污染源强核算</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cs="Times New Roman"/>
                <w:color w:val="auto"/>
                <w:sz w:val="24"/>
                <w:szCs w:val="24"/>
                <w:highlight w:val="none"/>
              </w:rPr>
              <w:t>主要噪声为普通生产机械的运行噪声，</w:t>
            </w:r>
            <w:r>
              <w:rPr>
                <w:rFonts w:hint="default" w:ascii="Times New Roman" w:hAnsi="Times New Roman" w:eastAsia="宋体" w:cs="Times New Roman"/>
                <w:color w:val="auto"/>
                <w:sz w:val="24"/>
                <w:szCs w:val="24"/>
                <w:highlight w:val="none"/>
                <w:lang w:eastAsia="zh-CN"/>
              </w:rPr>
              <w:t>包括</w:t>
            </w:r>
            <w:r>
              <w:rPr>
                <w:rFonts w:hint="eastAsia" w:cs="Times New Roman"/>
                <w:color w:val="auto"/>
                <w:sz w:val="24"/>
                <w:szCs w:val="24"/>
                <w:highlight w:val="none"/>
                <w:lang w:val="en-US" w:eastAsia="zh-CN"/>
              </w:rPr>
              <w:t>筛分机</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破碎</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搅拌机、除尘器</w:t>
            </w:r>
            <w:r>
              <w:rPr>
                <w:rFonts w:hint="default" w:ascii="Times New Roman" w:hAnsi="Times New Roman" w:eastAsia="宋体" w:cs="Times New Roman"/>
                <w:color w:val="auto"/>
                <w:sz w:val="24"/>
                <w:szCs w:val="24"/>
                <w:highlight w:val="none"/>
                <w:lang w:eastAsia="zh-CN"/>
              </w:rPr>
              <w:t>等设备工作时产生的噪声，噪声源强范围在70~9</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eastAsia="zh-CN"/>
              </w:rPr>
              <w:t>dB（A），项目主要设备噪声源强如表</w:t>
            </w:r>
            <w:r>
              <w:rPr>
                <w:rFonts w:hint="default" w:ascii="Times New Roman" w:hAnsi="Times New Roman" w:eastAsia="宋体" w:cs="Times New Roman"/>
                <w:color w:val="auto"/>
                <w:sz w:val="24"/>
                <w:szCs w:val="24"/>
                <w:highlight w:val="none"/>
                <w:lang w:val="en-US" w:eastAsia="zh-CN"/>
              </w:rPr>
              <w:t>4.2</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所示。</w:t>
            </w:r>
          </w:p>
          <w:p>
            <w:pPr>
              <w:keepNext w:val="0"/>
              <w:keepLines w:val="0"/>
              <w:pageBreakBefore w:val="0"/>
              <w:widowControl w:val="0"/>
              <w:kinsoku/>
              <w:wordWrap/>
              <w:overflowPunct/>
              <w:topLinePunct w:val="0"/>
              <w:autoSpaceDE w:val="0"/>
              <w:autoSpaceDN w:val="0"/>
              <w:bidi w:val="0"/>
              <w:adjustRightInd w:val="0"/>
              <w:snapToGrid/>
              <w:jc w:val="center"/>
              <w:textAlignment w:val="auto"/>
              <w:outlineLvl w:val="4"/>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jc w:val="center"/>
              <w:textAlignment w:val="auto"/>
              <w:outlineLvl w:val="4"/>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jc w:val="center"/>
              <w:textAlignment w:val="auto"/>
              <w:outlineLvl w:val="4"/>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项目主要噪声源强一览表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93"/>
              <w:gridCol w:w="3782"/>
              <w:gridCol w:w="1044"/>
              <w:gridCol w:w="1544"/>
              <w:gridCol w:w="1218"/>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7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aps/>
                      <w:color w:val="auto"/>
                      <w:sz w:val="21"/>
                      <w:szCs w:val="21"/>
                      <w:highlight w:val="none"/>
                      <w:lang w:eastAsia="zh-CN"/>
                    </w:rPr>
                    <w:t>位置</w:t>
                  </w:r>
                </w:p>
              </w:tc>
              <w:tc>
                <w:tcPr>
                  <w:tcW w:w="2087"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aps/>
                      <w:color w:val="auto"/>
                      <w:sz w:val="21"/>
                      <w:szCs w:val="21"/>
                      <w:highlight w:val="none"/>
                    </w:rPr>
                    <w:t>设备名称</w:t>
                  </w:r>
                </w:p>
              </w:tc>
              <w:tc>
                <w:tcPr>
                  <w:tcW w:w="576"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sz w:val="21"/>
                      <w:szCs w:val="21"/>
                      <w:highlight w:val="none"/>
                    </w:rPr>
                  </w:pPr>
                  <w:r>
                    <w:rPr>
                      <w:rFonts w:hint="default" w:ascii="Times New Roman" w:hAnsi="Times New Roman" w:eastAsia="宋体" w:cs="Times New Roman"/>
                      <w:b w:val="0"/>
                      <w:bCs w:val="0"/>
                      <w:caps/>
                      <w:color w:val="auto"/>
                      <w:sz w:val="21"/>
                      <w:szCs w:val="21"/>
                      <w:highlight w:val="none"/>
                    </w:rPr>
                    <w:t>数量</w:t>
                  </w:r>
                </w:p>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aps/>
                      <w:color w:val="auto"/>
                      <w:sz w:val="21"/>
                      <w:szCs w:val="21"/>
                      <w:highlight w:val="none"/>
                    </w:rPr>
                    <w:t>（台/套）</w:t>
                  </w:r>
                </w:p>
              </w:tc>
              <w:tc>
                <w:tcPr>
                  <w:tcW w:w="85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sz w:val="21"/>
                      <w:szCs w:val="21"/>
                      <w:highlight w:val="none"/>
                      <w:lang w:eastAsia="zh-CN"/>
                    </w:rPr>
                  </w:pPr>
                  <w:r>
                    <w:rPr>
                      <w:rFonts w:hint="default" w:ascii="Times New Roman" w:hAnsi="Times New Roman" w:eastAsia="宋体" w:cs="Times New Roman"/>
                      <w:b w:val="0"/>
                      <w:bCs w:val="0"/>
                      <w:caps/>
                      <w:color w:val="auto"/>
                      <w:sz w:val="21"/>
                      <w:szCs w:val="21"/>
                      <w:highlight w:val="none"/>
                      <w:lang w:eastAsia="zh-CN"/>
                    </w:rPr>
                    <w:t>源强dB（A）</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治理措施</w:t>
                  </w:r>
                </w:p>
              </w:tc>
              <w:tc>
                <w:tcPr>
                  <w:tcW w:w="53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降噪效果</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7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cs="Times New Roman"/>
                      <w:b w:val="0"/>
                      <w:bCs w:val="0"/>
                      <w:caps/>
                      <w:color w:val="auto"/>
                      <w:sz w:val="21"/>
                      <w:szCs w:val="21"/>
                      <w:highlight w:val="none"/>
                      <w:lang w:val="en-US" w:eastAsia="zh-CN"/>
                    </w:rPr>
                    <w:t>1</w:t>
                  </w:r>
                </w:p>
              </w:tc>
              <w:tc>
                <w:tcPr>
                  <w:tcW w:w="2087" w:type="pct"/>
                  <w:tcBorders>
                    <w:tl2br w:val="nil"/>
                    <w:tr2bl w:val="nil"/>
                  </w:tcBorders>
                  <w:noWrap w:val="0"/>
                  <w:vAlign w:val="center"/>
                </w:tcPr>
                <w:p>
                  <w:pPr>
                    <w:spacing w:line="240" w:lineRule="exact"/>
                    <w:jc w:val="center"/>
                    <w:rPr>
                      <w:rFonts w:hint="eastAsia" w:ascii="Times New Roman" w:hAnsi="Times New Roman" w:eastAsia="宋体" w:cs="Times New Roman"/>
                      <w:color w:val="auto"/>
                    </w:rPr>
                  </w:pPr>
                  <w:r>
                    <w:rPr>
                      <w:rFonts w:hint="eastAsia"/>
                      <w:color w:val="auto"/>
                    </w:rPr>
                    <w:t>输送带</w:t>
                  </w:r>
                </w:p>
              </w:tc>
              <w:tc>
                <w:tcPr>
                  <w:tcW w:w="576"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aps/>
                      <w:color w:val="auto"/>
                      <w:sz w:val="21"/>
                      <w:szCs w:val="21"/>
                      <w:highlight w:val="none"/>
                      <w:lang w:val="en-US" w:eastAsia="zh-CN"/>
                    </w:rPr>
                  </w:pPr>
                  <w:r>
                    <w:rPr>
                      <w:rFonts w:hint="eastAsia" w:cs="Times New Roman"/>
                      <w:b w:val="0"/>
                      <w:bCs w:val="0"/>
                      <w:caps/>
                      <w:color w:val="auto"/>
                      <w:sz w:val="21"/>
                      <w:szCs w:val="21"/>
                      <w:highlight w:val="none"/>
                      <w:lang w:val="en-US" w:eastAsia="zh-CN"/>
                    </w:rPr>
                    <w:t>5</w:t>
                  </w:r>
                </w:p>
              </w:tc>
              <w:tc>
                <w:tcPr>
                  <w:tcW w:w="85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aps/>
                      <w:color w:val="auto"/>
                      <w:sz w:val="21"/>
                      <w:szCs w:val="21"/>
                      <w:highlight w:val="none"/>
                      <w:lang w:val="en-US" w:eastAsia="zh-CN"/>
                    </w:rPr>
                  </w:pPr>
                  <w:r>
                    <w:rPr>
                      <w:rFonts w:hint="default" w:ascii="Times New Roman" w:hAnsi="Times New Roman" w:eastAsia="宋体" w:cs="Times New Roman"/>
                      <w:b w:val="0"/>
                      <w:bCs w:val="0"/>
                      <w:caps/>
                      <w:color w:val="auto"/>
                      <w:sz w:val="21"/>
                      <w:szCs w:val="21"/>
                      <w:highlight w:val="none"/>
                      <w:lang w:val="en-US" w:eastAsia="zh-CN"/>
                    </w:rPr>
                    <w:t>70</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0</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隔声、减振</w:t>
                  </w:r>
                </w:p>
              </w:tc>
              <w:tc>
                <w:tcPr>
                  <w:tcW w:w="53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7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cs="Times New Roman"/>
                      <w:b w:val="0"/>
                      <w:bCs w:val="0"/>
                      <w:caps/>
                      <w:color w:val="auto"/>
                      <w:sz w:val="21"/>
                      <w:szCs w:val="21"/>
                      <w:highlight w:val="none"/>
                      <w:lang w:val="en-US" w:eastAsia="zh-CN"/>
                    </w:rPr>
                    <w:t>2</w:t>
                  </w:r>
                </w:p>
              </w:tc>
              <w:tc>
                <w:tcPr>
                  <w:tcW w:w="2087" w:type="pct"/>
                  <w:tcBorders>
                    <w:tl2br w:val="nil"/>
                    <w:tr2bl w:val="nil"/>
                  </w:tcBorders>
                  <w:noWrap w:val="0"/>
                  <w:vAlign w:val="center"/>
                </w:tcPr>
                <w:p>
                  <w:pPr>
                    <w:spacing w:line="240" w:lineRule="exact"/>
                    <w:jc w:val="center"/>
                    <w:rPr>
                      <w:rFonts w:hint="eastAsia" w:ascii="Times New Roman" w:hAnsi="Times New Roman" w:eastAsia="宋体" w:cs="Times New Roman"/>
                      <w:color w:val="auto"/>
                      <w:highlight w:val="none"/>
                    </w:rPr>
                  </w:pPr>
                  <w:r>
                    <w:rPr>
                      <w:rFonts w:hint="eastAsia"/>
                      <w:highlight w:val="none"/>
                    </w:rPr>
                    <w:t>高频筛</w:t>
                  </w:r>
                </w:p>
              </w:tc>
              <w:tc>
                <w:tcPr>
                  <w:tcW w:w="576"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cs="Times New Roman"/>
                      <w:b w:val="0"/>
                      <w:bCs w:val="0"/>
                      <w:caps/>
                      <w:color w:val="auto"/>
                      <w:sz w:val="21"/>
                      <w:szCs w:val="21"/>
                      <w:highlight w:val="none"/>
                      <w:lang w:val="en-US" w:eastAsia="zh-CN"/>
                    </w:rPr>
                    <w:t>1</w:t>
                  </w:r>
                </w:p>
              </w:tc>
              <w:tc>
                <w:tcPr>
                  <w:tcW w:w="85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90</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隔声、减振</w:t>
                  </w:r>
                </w:p>
              </w:tc>
              <w:tc>
                <w:tcPr>
                  <w:tcW w:w="53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7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cs="Times New Roman"/>
                      <w:b w:val="0"/>
                      <w:bCs w:val="0"/>
                      <w:caps/>
                      <w:color w:val="auto"/>
                      <w:sz w:val="21"/>
                      <w:szCs w:val="21"/>
                      <w:highlight w:val="none"/>
                      <w:lang w:val="en-US" w:eastAsia="zh-CN"/>
                    </w:rPr>
                    <w:t>3</w:t>
                  </w:r>
                </w:p>
              </w:tc>
              <w:tc>
                <w:tcPr>
                  <w:tcW w:w="2087" w:type="pct"/>
                  <w:tcBorders>
                    <w:tl2br w:val="nil"/>
                    <w:tr2bl w:val="nil"/>
                  </w:tcBorders>
                  <w:noWrap w:val="0"/>
                  <w:vAlign w:val="center"/>
                </w:tcPr>
                <w:p>
                  <w:pPr>
                    <w:spacing w:line="24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highlight w:val="none"/>
                      <w:lang w:val="en-US" w:eastAsia="zh-CN"/>
                    </w:rPr>
                    <w:t>破碎机</w:t>
                  </w:r>
                </w:p>
              </w:tc>
              <w:tc>
                <w:tcPr>
                  <w:tcW w:w="576"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eastAsia" w:cs="Times New Roman"/>
                      <w:b w:val="0"/>
                      <w:bCs w:val="0"/>
                      <w:caps/>
                      <w:color w:val="auto"/>
                      <w:sz w:val="21"/>
                      <w:szCs w:val="21"/>
                      <w:highlight w:val="none"/>
                      <w:lang w:val="en-US" w:eastAsia="zh-CN"/>
                    </w:rPr>
                    <w:t>2</w:t>
                  </w:r>
                </w:p>
              </w:tc>
              <w:tc>
                <w:tcPr>
                  <w:tcW w:w="85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eastAsia="宋体" w:cs="Times New Roman"/>
                      <w:b w:val="0"/>
                      <w:bCs w:val="0"/>
                      <w:caps/>
                      <w:color w:val="auto"/>
                      <w:sz w:val="21"/>
                      <w:szCs w:val="21"/>
                      <w:highlight w:val="none"/>
                      <w:lang w:val="en-US" w:eastAsia="zh-CN"/>
                    </w:rPr>
                    <w:t>70</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0</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隔声、减振</w:t>
                  </w:r>
                </w:p>
              </w:tc>
              <w:tc>
                <w:tcPr>
                  <w:tcW w:w="53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7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cs="Times New Roman"/>
                      <w:b w:val="0"/>
                      <w:bCs w:val="0"/>
                      <w:caps/>
                      <w:color w:val="auto"/>
                      <w:sz w:val="21"/>
                      <w:szCs w:val="21"/>
                      <w:highlight w:val="none"/>
                      <w:lang w:val="en-US" w:eastAsia="zh-CN"/>
                    </w:rPr>
                    <w:t>4</w:t>
                  </w:r>
                </w:p>
              </w:tc>
              <w:tc>
                <w:tcPr>
                  <w:tcW w:w="2087" w:type="pct"/>
                  <w:tcBorders>
                    <w:tl2br w:val="nil"/>
                    <w:tr2bl w:val="nil"/>
                  </w:tcBorders>
                  <w:noWrap w:val="0"/>
                  <w:vAlign w:val="center"/>
                </w:tcPr>
                <w:p>
                  <w:pPr>
                    <w:spacing w:line="240" w:lineRule="exact"/>
                    <w:jc w:val="center"/>
                    <w:rPr>
                      <w:rFonts w:hint="eastAsia" w:ascii="Times New Roman" w:hAnsi="Times New Roman" w:eastAsia="宋体" w:cs="Times New Roman"/>
                      <w:color w:val="auto"/>
                      <w:highlight w:val="none"/>
                    </w:rPr>
                  </w:pPr>
                  <w:r>
                    <w:rPr>
                      <w:rFonts w:hint="eastAsia" w:ascii="Times New Roman" w:hAnsi="Times New Roman" w:eastAsia="宋体" w:cs="Times New Roman"/>
                      <w:highlight w:val="none"/>
                    </w:rPr>
                    <w:t>螺旋搅拌机</w:t>
                  </w:r>
                </w:p>
              </w:tc>
              <w:tc>
                <w:tcPr>
                  <w:tcW w:w="576"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cs="Times New Roman"/>
                      <w:b w:val="0"/>
                      <w:bCs w:val="0"/>
                      <w:caps/>
                      <w:color w:val="auto"/>
                      <w:sz w:val="21"/>
                      <w:szCs w:val="21"/>
                      <w:highlight w:val="none"/>
                      <w:lang w:val="en-US" w:eastAsia="zh-CN"/>
                    </w:rPr>
                    <w:t>1</w:t>
                  </w:r>
                </w:p>
              </w:tc>
              <w:tc>
                <w:tcPr>
                  <w:tcW w:w="85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eastAsia" w:cs="Times New Roman"/>
                      <w:b w:val="0"/>
                      <w:bCs w:val="0"/>
                      <w:caps/>
                      <w:color w:val="auto"/>
                      <w:sz w:val="21"/>
                      <w:szCs w:val="21"/>
                      <w:highlight w:val="none"/>
                      <w:lang w:val="en-US" w:eastAsia="zh-CN"/>
                    </w:rPr>
                    <w:t>80</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隔声、减振</w:t>
                  </w:r>
                </w:p>
              </w:tc>
              <w:tc>
                <w:tcPr>
                  <w:tcW w:w="53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blHeader/>
                <w:jc w:val="center"/>
              </w:trPr>
              <w:tc>
                <w:tcPr>
                  <w:tcW w:w="27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aps/>
                      <w:color w:val="auto"/>
                      <w:sz w:val="21"/>
                      <w:szCs w:val="21"/>
                      <w:highlight w:val="none"/>
                      <w:lang w:val="en-US" w:eastAsia="zh-CN"/>
                    </w:rPr>
                  </w:pPr>
                  <w:r>
                    <w:rPr>
                      <w:rFonts w:hint="eastAsia" w:cs="Times New Roman"/>
                      <w:b w:val="0"/>
                      <w:bCs w:val="0"/>
                      <w:caps/>
                      <w:color w:val="auto"/>
                      <w:sz w:val="21"/>
                      <w:szCs w:val="21"/>
                      <w:highlight w:val="none"/>
                      <w:lang w:val="en-US" w:eastAsia="zh-CN"/>
                    </w:rPr>
                    <w:t>5</w:t>
                  </w:r>
                </w:p>
              </w:tc>
              <w:tc>
                <w:tcPr>
                  <w:tcW w:w="2087" w:type="pct"/>
                  <w:tcBorders>
                    <w:tl2br w:val="nil"/>
                    <w:tr2bl w:val="nil"/>
                  </w:tcBorders>
                  <w:noWrap w:val="0"/>
                  <w:vAlign w:val="center"/>
                </w:tcPr>
                <w:p>
                  <w:pPr>
                    <w:spacing w:line="240" w:lineRule="exact"/>
                    <w:jc w:val="center"/>
                    <w:rPr>
                      <w:rFonts w:hint="eastAsia" w:ascii="Times New Roman" w:hAnsi="Times New Roman" w:eastAsia="宋体" w:cs="Times New Roman"/>
                      <w:color w:val="auto"/>
                    </w:rPr>
                  </w:pPr>
                  <w:r>
                    <w:rPr>
                      <w:rFonts w:hint="eastAsia" w:cs="Times New Roman"/>
                      <w:lang w:val="en-US" w:eastAsia="zh-CN"/>
                    </w:rPr>
                    <w:t>脉冲</w:t>
                  </w:r>
                  <w:r>
                    <w:rPr>
                      <w:rFonts w:hint="eastAsia" w:ascii="Times New Roman" w:hAnsi="Times New Roman" w:eastAsia="宋体" w:cs="Times New Roman"/>
                    </w:rPr>
                    <w:t>除尘器</w:t>
                  </w:r>
                </w:p>
              </w:tc>
              <w:tc>
                <w:tcPr>
                  <w:tcW w:w="576"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eastAsia" w:ascii="Times New Roman" w:hAnsi="Times New Roman" w:cs="Times New Roman"/>
                      <w:b w:val="0"/>
                      <w:bCs w:val="0"/>
                      <w:caps/>
                      <w:color w:val="auto"/>
                      <w:sz w:val="21"/>
                      <w:szCs w:val="21"/>
                      <w:highlight w:val="none"/>
                      <w:lang w:val="en-US" w:eastAsia="zh-CN"/>
                    </w:rPr>
                    <w:t>1</w:t>
                  </w:r>
                </w:p>
              </w:tc>
              <w:tc>
                <w:tcPr>
                  <w:tcW w:w="852" w:type="pct"/>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aps/>
                      <w:color w:val="auto"/>
                      <w:kern w:val="2"/>
                      <w:sz w:val="21"/>
                      <w:szCs w:val="21"/>
                      <w:highlight w:val="none"/>
                      <w:lang w:val="en-US" w:eastAsia="zh-CN" w:bidi="ar-SA"/>
                    </w:rPr>
                  </w:pPr>
                  <w:r>
                    <w:rPr>
                      <w:rFonts w:hint="default" w:ascii="Times New Roman" w:hAnsi="Times New Roman" w:cs="Times New Roman"/>
                      <w:b w:val="0"/>
                      <w:bCs w:val="0"/>
                      <w:caps/>
                      <w:color w:val="auto"/>
                      <w:sz w:val="21"/>
                      <w:szCs w:val="21"/>
                      <w:highlight w:val="none"/>
                      <w:lang w:val="en-US" w:eastAsia="zh-CN"/>
                    </w:rPr>
                    <w:t>90</w:t>
                  </w:r>
                </w:p>
              </w:tc>
              <w:tc>
                <w:tcPr>
                  <w:tcW w:w="67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隔声</w:t>
                  </w:r>
                </w:p>
              </w:tc>
              <w:tc>
                <w:tcPr>
                  <w:tcW w:w="53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10</w:t>
                  </w:r>
                </w:p>
              </w:tc>
            </w:tr>
          </w:tbl>
          <w:p>
            <w:pPr>
              <w:pStyle w:val="45"/>
              <w:keepNext w:val="0"/>
              <w:keepLines w:val="0"/>
              <w:pageBreakBefore w:val="0"/>
              <w:widowControl w:val="0"/>
              <w:kinsoku/>
              <w:wordWrap/>
              <w:overflowPunct/>
              <w:topLinePunct w:val="0"/>
              <w:autoSpaceDE/>
              <w:autoSpaceDN/>
              <w:bidi w:val="0"/>
              <w:adjustRightInd w:val="0"/>
              <w:snapToGrid w:val="0"/>
              <w:spacing w:before="110" w:beforeLines="30"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4.2.3.2  环境影响分析</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234" w:name="_Toc31171"/>
            <w:bookmarkStart w:id="235" w:name="_Toc15992"/>
            <w:r>
              <w:rPr>
                <w:rFonts w:hint="default" w:ascii="Times New Roman" w:hAnsi="Times New Roman" w:eastAsia="宋体" w:cs="Times New Roman"/>
                <w:color w:val="auto"/>
                <w:sz w:val="24"/>
                <w:szCs w:val="24"/>
                <w:highlight w:val="none"/>
                <w:lang w:val="en-US" w:eastAsia="zh-CN"/>
              </w:rPr>
              <w:t>本评价建议选购低噪声生产设备，对设备基础减振处理，设备放置在车间内或房间内，通过基础减振、厂房隔声等措施来减少噪声对外界的影响，风机设置隔声罩，</w:t>
            </w: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项目周边200m范围没有声敏感目标，项目建成后产生的噪声对厂界周边声环境影响较小，不会出现扰民问题。</w:t>
            </w:r>
          </w:p>
          <w:bookmarkEnd w:id="234"/>
          <w:bookmarkEnd w:id="235"/>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4.2.3.3  环保措施</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宋体" w:cs="Times New Roman"/>
                <w:color w:val="auto"/>
                <w:sz w:val="24"/>
                <w:szCs w:val="22"/>
                <w:highlight w:val="none"/>
                <w:lang w:eastAsia="zh-CN"/>
              </w:rPr>
              <w:t>项目噪声主要来源于</w:t>
            </w:r>
            <w:r>
              <w:rPr>
                <w:rFonts w:hint="eastAsia" w:cs="Times New Roman"/>
                <w:color w:val="auto"/>
                <w:sz w:val="24"/>
                <w:szCs w:val="24"/>
                <w:highlight w:val="none"/>
                <w:lang w:val="en-US" w:eastAsia="zh-CN"/>
              </w:rPr>
              <w:t>破碎机</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筛分</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搅拌</w:t>
            </w:r>
            <w:r>
              <w:rPr>
                <w:rFonts w:hint="default" w:ascii="Times New Roman" w:hAnsi="Times New Roman" w:eastAsia="宋体" w:cs="Times New Roman"/>
                <w:color w:val="auto"/>
                <w:sz w:val="24"/>
                <w:szCs w:val="24"/>
                <w:highlight w:val="none"/>
                <w:lang w:eastAsia="zh-CN"/>
              </w:rPr>
              <w:t>机等</w:t>
            </w:r>
            <w:r>
              <w:rPr>
                <w:rFonts w:hint="default" w:ascii="Times New Roman" w:hAnsi="Times New Roman" w:eastAsia="宋体" w:cs="Times New Roman"/>
                <w:color w:val="auto"/>
                <w:sz w:val="24"/>
                <w:szCs w:val="24"/>
                <w:highlight w:val="none"/>
                <w:lang w:val="en-US" w:eastAsia="zh-CN"/>
              </w:rPr>
              <w:t>工作时</w:t>
            </w:r>
            <w:r>
              <w:rPr>
                <w:rFonts w:hint="default" w:ascii="Times New Roman" w:hAnsi="Times New Roman" w:eastAsia="宋体" w:cs="Times New Roman"/>
                <w:color w:val="auto"/>
                <w:sz w:val="24"/>
                <w:szCs w:val="22"/>
                <w:highlight w:val="none"/>
                <w:lang w:eastAsia="zh-CN"/>
              </w:rPr>
              <w:t>产生的噪声</w:t>
            </w:r>
            <w:r>
              <w:rPr>
                <w:rFonts w:hint="default" w:ascii="Times New Roman" w:hAnsi="Times New Roman" w:eastAsia="Times New Roman" w:cs="Times New Roman"/>
                <w:color w:val="auto"/>
                <w:sz w:val="24"/>
                <w:highlight w:val="none"/>
                <w:lang w:val="zh-CN"/>
              </w:rPr>
              <w:t>。声源强度一般介于70～90dB（A）间。噪声主要防治措施如下：</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Times New Roman" w:cs="Times New Roman"/>
                <w:color w:val="auto"/>
                <w:sz w:val="24"/>
                <w:highlight w:val="none"/>
                <w:lang w:val="zh-CN"/>
              </w:rPr>
              <w:t>（1）从声源上降噪：</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Times New Roman" w:cs="Times New Roman"/>
                <w:color w:val="auto"/>
                <w:sz w:val="24"/>
                <w:highlight w:val="none"/>
                <w:lang w:val="zh-CN"/>
              </w:rPr>
              <w:t>根据</w:t>
            </w:r>
            <w:r>
              <w:rPr>
                <w:rFonts w:hint="eastAsia" w:cs="Times New Roman"/>
                <w:color w:val="auto"/>
                <w:sz w:val="24"/>
                <w:highlight w:val="none"/>
                <w:lang w:val="en-US" w:eastAsia="zh-CN"/>
              </w:rPr>
              <w:t>本</w:t>
            </w:r>
            <w:r>
              <w:rPr>
                <w:rFonts w:hint="default" w:ascii="Times New Roman" w:hAnsi="Times New Roman" w:eastAsia="Times New Roman" w:cs="Times New Roman"/>
                <w:color w:val="auto"/>
                <w:sz w:val="24"/>
                <w:highlight w:val="none"/>
                <w:lang w:val="zh-CN"/>
              </w:rPr>
              <w:t>项目噪声源特征，建议在设计和设备采购阶段，在满足工艺设计的前提下，优先选用低噪声、低振动型号的设备，从而从声源上降低设备本身的噪声。</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Times New Roman" w:cs="Times New Roman"/>
                <w:color w:val="auto"/>
                <w:sz w:val="24"/>
                <w:highlight w:val="none"/>
                <w:lang w:val="zh-CN"/>
              </w:rPr>
              <w:t>为防止振动产生的噪声污染，</w:t>
            </w:r>
            <w:r>
              <w:rPr>
                <w:rFonts w:hint="eastAsia" w:eastAsia="Times New Roman" w:cs="Times New Roman"/>
                <w:color w:val="auto"/>
                <w:sz w:val="24"/>
                <w:highlight w:val="none"/>
                <w:lang w:val="zh-CN"/>
              </w:rPr>
              <w:t>扩建</w:t>
            </w:r>
            <w:r>
              <w:rPr>
                <w:rFonts w:hint="default" w:ascii="Times New Roman" w:hAnsi="Times New Roman" w:eastAsia="Times New Roman" w:cs="Times New Roman"/>
                <w:color w:val="auto"/>
                <w:sz w:val="24"/>
                <w:highlight w:val="none"/>
                <w:lang w:val="zh-CN"/>
              </w:rPr>
              <w:t>项目各类噪声设备、泵和风机均设置单独基础，并加设减振垫，以防治振动产生噪音。各种泵的进、出口均采用减振软接头，以减少泵的振动和噪声经管道传播。</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Times New Roman" w:cs="Times New Roman"/>
                <w:color w:val="auto"/>
                <w:sz w:val="24"/>
                <w:highlight w:val="none"/>
                <w:lang w:val="zh-CN"/>
              </w:rPr>
              <w:t>（2）从传播途径上降噪：除选择低噪设备外，在安装上注意到风机</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Times New Roman" w:cs="Times New Roman"/>
                <w:color w:val="auto"/>
                <w:sz w:val="24"/>
                <w:highlight w:val="none"/>
                <w:lang w:val="zh-CN"/>
              </w:rPr>
              <w:t>本身应带减振底座，安装位置具有减振台基础，主排风管在风气出口要配置消声器，排风管道进出口加柔性软接头。对于设置在屋顶的风机或排气口考虑加设风机隔声罩，以降低风机噪声对周围环境的影响。</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Times New Roman" w:cs="Times New Roman"/>
                <w:color w:val="auto"/>
                <w:sz w:val="24"/>
                <w:highlight w:val="none"/>
                <w:lang w:val="zh-CN"/>
              </w:rPr>
              <w:t>建筑物隔声：</w:t>
            </w:r>
            <w:r>
              <w:rPr>
                <w:rFonts w:hint="eastAsia" w:eastAsia="宋体" w:cs="Times New Roman"/>
                <w:color w:val="auto"/>
                <w:sz w:val="24"/>
                <w:highlight w:val="none"/>
                <w:lang w:val="en-US" w:eastAsia="zh-CN"/>
              </w:rPr>
              <w:t>技改</w:t>
            </w:r>
            <w:r>
              <w:rPr>
                <w:rFonts w:hint="default" w:ascii="Times New Roman" w:hAnsi="Times New Roman" w:eastAsia="Times New Roman" w:cs="Times New Roman"/>
                <w:color w:val="auto"/>
                <w:sz w:val="24"/>
                <w:highlight w:val="none"/>
                <w:lang w:val="zh-CN"/>
              </w:rPr>
              <w:t>项目所有生产设备均在车间内，因此噪声源</w:t>
            </w:r>
            <w:r>
              <w:rPr>
                <w:rFonts w:hint="default" w:ascii="Times New Roman" w:hAnsi="Times New Roman" w:eastAsia="Times New Roman" w:cs="Times New Roman"/>
                <w:color w:val="auto"/>
                <w:sz w:val="24"/>
                <w:highlight w:val="none"/>
                <w:lang w:val="zh-CN" w:eastAsia="zh-CN"/>
              </w:rPr>
              <w:t>均</w:t>
            </w:r>
            <w:r>
              <w:rPr>
                <w:rFonts w:hint="default" w:ascii="Times New Roman" w:hAnsi="Times New Roman" w:eastAsia="Times New Roman" w:cs="Times New Roman"/>
                <w:color w:val="auto"/>
                <w:sz w:val="24"/>
                <w:highlight w:val="none"/>
                <w:lang w:val="zh-CN"/>
              </w:rPr>
              <w:t>封闭在室内。通过建筑物封闭隔声措施并在房屋内壁铺设吸声材料，应至少可以降低噪声10dB（A）以上。</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Times New Roman" w:cs="Times New Roman"/>
                <w:color w:val="auto"/>
                <w:sz w:val="24"/>
                <w:highlight w:val="none"/>
                <w:lang w:val="zh-CN"/>
              </w:rPr>
              <w:t>（3）合理布局：将主要高噪声生产设备布置在</w:t>
            </w:r>
            <w:r>
              <w:rPr>
                <w:rFonts w:hint="default" w:ascii="Times New Roman" w:hAnsi="Times New Roman" w:eastAsia="宋体" w:cs="Times New Roman"/>
                <w:color w:val="auto"/>
                <w:sz w:val="24"/>
                <w:highlight w:val="none"/>
                <w:lang w:val="en-US" w:eastAsia="zh-CN"/>
              </w:rPr>
              <w:t>车间内</w:t>
            </w:r>
            <w:r>
              <w:rPr>
                <w:rFonts w:hint="default" w:ascii="Times New Roman" w:hAnsi="Times New Roman" w:eastAsia="Times New Roman" w:cs="Times New Roman"/>
                <w:color w:val="auto"/>
                <w:sz w:val="24"/>
                <w:highlight w:val="none"/>
                <w:lang w:val="zh-CN"/>
              </w:rPr>
              <w:t>部。采用“闹静分开”和合理布局的设置原则，尽量将高噪声源远离噪声敏感区域或厂界。在车间、厂区周围建设一定高度的隔声屏障，如围墙，减少对车间外或厂区外声环境的影响。</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zh-CN"/>
              </w:rPr>
            </w:pPr>
            <w:r>
              <w:rPr>
                <w:rFonts w:hint="default" w:ascii="Times New Roman" w:hAnsi="Times New Roman" w:eastAsia="Times New Roman" w:cs="Times New Roman"/>
                <w:color w:val="auto"/>
                <w:sz w:val="24"/>
                <w:highlight w:val="none"/>
                <w:lang w:val="zh-CN"/>
              </w:rPr>
              <w:t xml:space="preserve">（4）加强管理：平时加强对各噪声设备的保养、检修与润滑，保证设备良好运转，减轻运行噪声强度，杜绝因设备不正常运转时产生的高噪声现象。 </w:t>
            </w:r>
          </w:p>
          <w:p>
            <w:pPr>
              <w:pStyle w:val="45"/>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Times New Roman" w:cs="Times New Roman"/>
                <w:color w:val="auto"/>
                <w:sz w:val="24"/>
                <w:highlight w:val="none"/>
                <w:lang w:val="en-US" w:eastAsia="zh-CN"/>
              </w:rPr>
            </w:pPr>
            <w:r>
              <w:rPr>
                <w:rFonts w:hint="default" w:ascii="Times New Roman" w:hAnsi="Times New Roman" w:eastAsia="Times New Roman" w:cs="Times New Roman"/>
                <w:color w:val="auto"/>
                <w:sz w:val="24"/>
                <w:highlight w:val="none"/>
                <w:lang w:val="en-US" w:eastAsia="zh-CN"/>
              </w:rPr>
              <w:t>采取以上措施后可确保厂界噪声能够满足《工业企业厂界环境噪声排放标准》（GB12348-2008）相关标准要求，不会对周围环境产生明显影响。</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236" w:name="_Toc14790"/>
            <w:bookmarkStart w:id="237" w:name="_Toc30873"/>
            <w:r>
              <w:rPr>
                <w:rFonts w:hint="default" w:ascii="Times New Roman" w:hAnsi="Times New Roman" w:eastAsia="宋体" w:cs="Times New Roman"/>
                <w:b/>
                <w:bCs/>
                <w:color w:val="auto"/>
                <w:highlight w:val="none"/>
                <w:lang w:val="en-US" w:eastAsia="zh-CN"/>
              </w:rPr>
              <w:t>4.2.4  固体废物</w:t>
            </w:r>
            <w:bookmarkEnd w:id="236"/>
            <w:bookmarkEnd w:id="237"/>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4.2.4.1  污染源强核算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工业固废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rPr>
            </w:pPr>
            <w:r>
              <w:rPr>
                <w:rFonts w:hint="eastAsia" w:cs="Times New Roman"/>
                <w:color w:val="auto"/>
                <w:sz w:val="24"/>
                <w:highlight w:val="none"/>
                <w:lang w:val="en-US" w:eastAsia="zh-CN"/>
              </w:rPr>
              <w:t>技改</w:t>
            </w:r>
            <w:r>
              <w:rPr>
                <w:rFonts w:hint="default" w:ascii="Times New Roman" w:hAnsi="Times New Roman" w:cs="Times New Roman"/>
                <w:color w:val="auto"/>
                <w:sz w:val="24"/>
                <w:highlight w:val="none"/>
                <w:lang w:eastAsia="zh-CN"/>
              </w:rPr>
              <w:t>项目</w:t>
            </w:r>
            <w:r>
              <w:rPr>
                <w:rFonts w:hint="default" w:ascii="Times New Roman" w:hAnsi="Times New Roman" w:cs="Times New Roman"/>
                <w:color w:val="auto"/>
                <w:sz w:val="24"/>
                <w:highlight w:val="none"/>
              </w:rPr>
              <w:t>的固体废弃物分为一般固体废物和危险废物。</w:t>
            </w:r>
            <w:r>
              <w:rPr>
                <w:rFonts w:hint="default" w:ascii="Times New Roman" w:hAnsi="Times New Roman" w:cs="Times New Roman"/>
                <w:color w:val="auto"/>
                <w:kern w:val="0"/>
                <w:sz w:val="24"/>
                <w:highlight w:val="none"/>
              </w:rPr>
              <w:t>一般固废包括</w:t>
            </w:r>
            <w:r>
              <w:rPr>
                <w:rFonts w:hint="eastAsia" w:cs="Times New Roman"/>
                <w:color w:val="auto"/>
                <w:kern w:val="0"/>
                <w:sz w:val="24"/>
                <w:highlight w:val="none"/>
                <w:lang w:val="en-US" w:eastAsia="zh-CN"/>
              </w:rPr>
              <w:t>除尘灰和</w:t>
            </w:r>
            <w:r>
              <w:rPr>
                <w:rFonts w:hint="default" w:ascii="Times New Roman" w:hAnsi="Times New Roman" w:cs="Times New Roman"/>
                <w:color w:val="auto"/>
                <w:kern w:val="0"/>
                <w:sz w:val="24"/>
                <w:highlight w:val="none"/>
                <w:lang w:eastAsia="zh-CN"/>
              </w:rPr>
              <w:t>生活</w:t>
            </w:r>
            <w:r>
              <w:rPr>
                <w:rFonts w:hint="default" w:ascii="Times New Roman" w:hAnsi="Times New Roman" w:cs="Times New Roman"/>
                <w:color w:val="auto"/>
                <w:kern w:val="0"/>
                <w:sz w:val="24"/>
                <w:highlight w:val="none"/>
              </w:rPr>
              <w:t>垃圾等；危险废物包括产生的废机油</w:t>
            </w:r>
            <w:r>
              <w:rPr>
                <w:rFonts w:hint="default" w:ascii="Times New Roman" w:hAnsi="Times New Roman" w:cs="Times New Roman"/>
                <w:color w:val="auto"/>
                <w:kern w:val="0"/>
                <w:sz w:val="24"/>
                <w:highlight w:val="none"/>
                <w:lang w:eastAsia="zh-CN"/>
              </w:rPr>
              <w:t>等</w:t>
            </w:r>
            <w:r>
              <w:rPr>
                <w:rFonts w:hint="default" w:ascii="Times New Roman" w:hAnsi="Times New Roman" w:cs="Times New Roman"/>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①一般固体废物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项目</w:t>
            </w:r>
            <w:r>
              <w:rPr>
                <w:rFonts w:hint="eastAsia" w:cs="Times New Roman"/>
                <w:color w:val="auto"/>
                <w:kern w:val="0"/>
                <w:sz w:val="24"/>
                <w:highlight w:val="none"/>
                <w:lang w:val="en-US" w:eastAsia="zh-CN"/>
              </w:rPr>
              <w:t>除尘器收集的粉尘回用于生产</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②</w:t>
            </w:r>
            <w:r>
              <w:rPr>
                <w:rFonts w:hint="default" w:ascii="Times New Roman" w:hAnsi="Times New Roman" w:cs="Times New Roman"/>
                <w:color w:val="auto"/>
                <w:sz w:val="24"/>
                <w:highlight w:val="none"/>
              </w:rPr>
              <w:t>危险废物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FF"/>
                <w:sz w:val="24"/>
                <w:highlight w:val="none"/>
              </w:rPr>
            </w:pPr>
            <w:r>
              <w:rPr>
                <w:rFonts w:hint="default" w:ascii="Times New Roman" w:hAnsi="Times New Roman" w:cs="Times New Roman"/>
                <w:color w:val="auto"/>
                <w:sz w:val="24"/>
                <w:highlight w:val="none"/>
              </w:rPr>
              <w:t>废机油：主要来自于生产设备维修过程产生的废机油，属于《国家危险废物名录》（2021年版）中HW08号：废矿物油与含矿物油废物，危废代码：</w:t>
            </w:r>
            <w:r>
              <w:rPr>
                <w:rFonts w:hint="default" w:ascii="Times New Roman" w:hAnsi="Times New Roman" w:cs="Times New Roman"/>
                <w:color w:val="auto"/>
                <w:sz w:val="24"/>
                <w:highlight w:val="none"/>
                <w:lang w:eastAsia="zh-CN"/>
              </w:rPr>
              <w:t>900-2</w:t>
            </w:r>
            <w:r>
              <w:rPr>
                <w:rFonts w:hint="eastAsia" w:cs="Times New Roman"/>
                <w:color w:val="auto"/>
                <w:sz w:val="24"/>
                <w:highlight w:val="none"/>
                <w:lang w:val="en-US" w:eastAsia="zh-CN"/>
              </w:rPr>
              <w:t>49</w:t>
            </w:r>
            <w:r>
              <w:rPr>
                <w:rFonts w:hint="default" w:ascii="Times New Roman" w:hAnsi="Times New Roman" w:cs="Times New Roman"/>
                <w:color w:val="auto"/>
                <w:sz w:val="24"/>
                <w:highlight w:val="none"/>
                <w:lang w:eastAsia="zh-CN"/>
              </w:rPr>
              <w:t>-08</w:t>
            </w:r>
            <w:r>
              <w:rPr>
                <w:rFonts w:hint="default" w:ascii="Times New Roman" w:hAnsi="Times New Roman" w:cs="Times New Roman"/>
                <w:color w:val="auto"/>
                <w:sz w:val="24"/>
                <w:highlight w:val="none"/>
              </w:rPr>
              <w:t>，委托有资质单位进行处理。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）生活垃圾</w:t>
            </w:r>
          </w:p>
          <w:p>
            <w:pPr>
              <w:pStyle w:val="2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b w:val="0"/>
                <w:bCs w:val="0"/>
                <w:color w:val="auto"/>
                <w:kern w:val="44"/>
                <w:sz w:val="24"/>
                <w:szCs w:val="24"/>
                <w:highlight w:val="none"/>
                <w:lang w:val="en-US" w:eastAsia="zh-CN" w:bidi="ar-SA"/>
              </w:rPr>
              <w:t>项目生产的劳动定员由</w:t>
            </w:r>
            <w:r>
              <w:rPr>
                <w:rFonts w:hint="eastAsia" w:ascii="Times New Roman" w:hAnsi="Times New Roman" w:cs="Times New Roman"/>
                <w:b w:val="0"/>
                <w:bCs w:val="0"/>
                <w:color w:val="auto"/>
                <w:kern w:val="44"/>
                <w:sz w:val="24"/>
                <w:szCs w:val="24"/>
                <w:highlight w:val="none"/>
                <w:lang w:val="en-US" w:eastAsia="zh-CN" w:bidi="ar-SA"/>
              </w:rPr>
              <w:t>福安市青拓环保建材有限公司</w:t>
            </w:r>
            <w:r>
              <w:rPr>
                <w:rFonts w:hint="default" w:ascii="Times New Roman" w:hAnsi="Times New Roman" w:eastAsia="宋体" w:cs="Times New Roman"/>
                <w:b w:val="0"/>
                <w:bCs w:val="0"/>
                <w:color w:val="auto"/>
                <w:kern w:val="44"/>
                <w:sz w:val="24"/>
                <w:szCs w:val="24"/>
                <w:highlight w:val="none"/>
                <w:lang w:val="en-US" w:eastAsia="zh-CN" w:bidi="ar-SA"/>
              </w:rPr>
              <w:t>厂区</w:t>
            </w:r>
            <w:r>
              <w:rPr>
                <w:rFonts w:hint="eastAsia" w:ascii="Times New Roman" w:hAnsi="Times New Roman" w:cs="Times New Roman"/>
                <w:b w:val="0"/>
                <w:bCs w:val="0"/>
                <w:color w:val="auto"/>
                <w:kern w:val="44"/>
                <w:sz w:val="24"/>
                <w:szCs w:val="24"/>
                <w:highlight w:val="none"/>
                <w:lang w:val="en-US" w:eastAsia="zh-CN" w:bidi="ar-SA"/>
              </w:rPr>
              <w:t>内部</w:t>
            </w:r>
            <w:r>
              <w:rPr>
                <w:rFonts w:hint="default" w:ascii="Times New Roman" w:hAnsi="Times New Roman" w:eastAsia="宋体" w:cs="Times New Roman"/>
                <w:b w:val="0"/>
                <w:bCs w:val="0"/>
                <w:color w:val="auto"/>
                <w:kern w:val="44"/>
                <w:sz w:val="24"/>
                <w:szCs w:val="24"/>
                <w:highlight w:val="none"/>
                <w:lang w:val="en-US" w:eastAsia="zh-CN" w:bidi="ar-SA"/>
              </w:rPr>
              <w:t>调配，</w:t>
            </w:r>
            <w:r>
              <w:rPr>
                <w:rFonts w:hint="eastAsia" w:ascii="Times New Roman" w:hAnsi="Times New Roman" w:cs="Times New Roman"/>
                <w:b w:val="0"/>
                <w:bCs w:val="0"/>
                <w:color w:val="auto"/>
                <w:kern w:val="44"/>
                <w:sz w:val="24"/>
                <w:szCs w:val="24"/>
                <w:highlight w:val="none"/>
                <w:lang w:val="en-US" w:eastAsia="zh-CN" w:bidi="ar-SA"/>
              </w:rPr>
              <w:t>本项目</w:t>
            </w:r>
            <w:r>
              <w:rPr>
                <w:rFonts w:hint="default" w:ascii="Times New Roman" w:hAnsi="Times New Roman" w:eastAsia="宋体" w:cs="Times New Roman"/>
                <w:b w:val="0"/>
                <w:bCs w:val="0"/>
                <w:color w:val="auto"/>
                <w:kern w:val="44"/>
                <w:sz w:val="24"/>
                <w:szCs w:val="24"/>
                <w:highlight w:val="none"/>
                <w:lang w:val="en-US" w:eastAsia="zh-CN" w:bidi="ar-SA"/>
              </w:rPr>
              <w:t>不新增加新的人员。</w:t>
            </w:r>
            <w:r>
              <w:rPr>
                <w:rFonts w:hint="default" w:ascii="Times New Roman" w:hAnsi="Times New Roman" w:cs="Times New Roman"/>
                <w:color w:val="auto"/>
                <w:sz w:val="24"/>
                <w:highlight w:val="none"/>
              </w:rPr>
              <w:t>生活垃圾</w:t>
            </w:r>
            <w:r>
              <w:rPr>
                <w:rFonts w:hint="default" w:ascii="Times New Roman" w:hAnsi="Times New Roman" w:cs="Times New Roman"/>
                <w:color w:val="auto"/>
                <w:sz w:val="24"/>
                <w:highlight w:val="none"/>
                <w:lang w:val="en-US" w:eastAsia="zh-CN"/>
              </w:rPr>
              <w:t>收集处理依托</w:t>
            </w:r>
            <w:r>
              <w:rPr>
                <w:rFonts w:hint="eastAsia" w:ascii="Times New Roman" w:hAnsi="Times New Roman" w:cs="Times New Roman"/>
                <w:b w:val="0"/>
                <w:bCs w:val="0"/>
                <w:color w:val="auto"/>
                <w:kern w:val="44"/>
                <w:sz w:val="24"/>
                <w:szCs w:val="24"/>
                <w:highlight w:val="none"/>
                <w:lang w:val="en-US" w:eastAsia="zh-CN" w:bidi="ar-SA"/>
              </w:rPr>
              <w:t>福安市青拓环保建材有限公司</w:t>
            </w:r>
            <w:r>
              <w:rPr>
                <w:rFonts w:hint="default" w:ascii="Times New Roman" w:hAnsi="Times New Roman" w:cs="Times New Roman"/>
                <w:color w:val="auto"/>
                <w:sz w:val="24"/>
                <w:highlight w:val="none"/>
                <w:lang w:val="en-US" w:eastAsia="zh-CN"/>
              </w:rPr>
              <w:t>厂区原有设施处理。</w:t>
            </w:r>
            <w:r>
              <w:rPr>
                <w:rFonts w:hint="default" w:ascii="Times New Roman" w:hAnsi="Times New Roman" w:cs="Times New Roman"/>
                <w:color w:val="auto"/>
                <w:sz w:val="24"/>
                <w:szCs w:val="24"/>
                <w:highlight w:val="none"/>
              </w:rPr>
              <w:t>生活垃圾由园区</w:t>
            </w:r>
            <w:r>
              <w:rPr>
                <w:rFonts w:hint="default" w:ascii="Times New Roman" w:hAnsi="Times New Roman" w:cs="Times New Roman"/>
                <w:color w:val="auto"/>
                <w:sz w:val="24"/>
                <w:highlight w:val="none"/>
              </w:rPr>
              <w:t>环卫部门清运和统一处置。</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 xml:space="preserve">  一般固体废物污染源源强及处置一览表（单位：t/a）</w:t>
            </w:r>
          </w:p>
          <w:tbl>
            <w:tblPr>
              <w:tblStyle w:val="33"/>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3"/>
              <w:gridCol w:w="867"/>
              <w:gridCol w:w="648"/>
              <w:gridCol w:w="990"/>
              <w:gridCol w:w="635"/>
              <w:gridCol w:w="693"/>
              <w:gridCol w:w="249"/>
              <w:gridCol w:w="622"/>
              <w:gridCol w:w="705"/>
              <w:gridCol w:w="1608"/>
              <w:gridCol w:w="825"/>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09"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装置</w:t>
                  </w:r>
                </w:p>
              </w:tc>
              <w:tc>
                <w:tcPr>
                  <w:tcW w:w="499"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固体废物名称</w:t>
                  </w:r>
                </w:p>
              </w:tc>
              <w:tc>
                <w:tcPr>
                  <w:tcW w:w="378"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固废属性</w:t>
                  </w:r>
                </w:p>
              </w:tc>
              <w:tc>
                <w:tcPr>
                  <w:tcW w:w="326"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废物代码</w:t>
                  </w:r>
                </w:p>
              </w:tc>
              <w:tc>
                <w:tcPr>
                  <w:tcW w:w="1701" w:type="pct"/>
                  <w:gridSpan w:val="5"/>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tc>
              <w:tc>
                <w:tcPr>
                  <w:tcW w:w="1382" w:type="pct"/>
                  <w:gridSpan w:val="2"/>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处置措施</w:t>
                  </w:r>
                </w:p>
              </w:tc>
              <w:tc>
                <w:tcPr>
                  <w:tcW w:w="402"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最终</w:t>
                  </w:r>
                </w:p>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0000FF"/>
                      <w:sz w:val="21"/>
                      <w:szCs w:val="21"/>
                      <w:highlight w:val="none"/>
                    </w:rPr>
                  </w:pPr>
                  <w:r>
                    <w:rPr>
                      <w:rFonts w:hint="default" w:ascii="Times New Roman" w:hAnsi="Times New Roman" w:cs="Times New Roman"/>
                      <w:color w:val="auto"/>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4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37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370"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核算方法</w:t>
                  </w:r>
                </w:p>
              </w:tc>
              <w:tc>
                <w:tcPr>
                  <w:tcW w:w="402"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w:t>
                  </w:r>
                </w:p>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rPr>
                    <w:t>t/a</w:t>
                  </w:r>
                  <w:r>
                    <w:rPr>
                      <w:rFonts w:hint="default" w:ascii="Times New Roman" w:hAnsi="Times New Roman" w:cs="Times New Roman"/>
                      <w:color w:val="auto"/>
                      <w:sz w:val="21"/>
                      <w:szCs w:val="21"/>
                      <w:highlight w:val="none"/>
                    </w:rPr>
                    <w:t>）</w:t>
                  </w:r>
                </w:p>
              </w:tc>
              <w:tc>
                <w:tcPr>
                  <w:tcW w:w="15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形态</w:t>
                  </w:r>
                </w:p>
              </w:tc>
              <w:tc>
                <w:tcPr>
                  <w:tcW w:w="363"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主要成分</w:t>
                  </w:r>
                </w:p>
              </w:tc>
              <w:tc>
                <w:tcPr>
                  <w:tcW w:w="408"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有害成分</w:t>
                  </w:r>
                </w:p>
              </w:tc>
              <w:tc>
                <w:tcPr>
                  <w:tcW w:w="90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暂存场所</w:t>
                  </w:r>
                </w:p>
              </w:tc>
              <w:tc>
                <w:tcPr>
                  <w:tcW w:w="475"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转运周期</w:t>
                  </w:r>
                </w:p>
              </w:tc>
              <w:tc>
                <w:tcPr>
                  <w:tcW w:w="4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0000FF"/>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0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除尘器</w:t>
                  </w:r>
                </w:p>
              </w:tc>
              <w:tc>
                <w:tcPr>
                  <w:tcW w:w="49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val="en-US"/>
                    </w:rPr>
                  </w:pPr>
                  <w:r>
                    <w:rPr>
                      <w:rFonts w:hint="eastAsia" w:cs="Times New Roman"/>
                      <w:color w:val="auto"/>
                      <w:szCs w:val="21"/>
                      <w:highlight w:val="none"/>
                      <w:lang w:val="en-US" w:eastAsia="zh-CN"/>
                    </w:rPr>
                    <w:t>除尘灰</w:t>
                  </w:r>
                </w:p>
              </w:tc>
              <w:tc>
                <w:tcPr>
                  <w:tcW w:w="378" w:type="pct"/>
                  <w:tcBorders>
                    <w:tl2br w:val="nil"/>
                    <w:tr2bl w:val="nil"/>
                  </w:tcBorders>
                  <w:noWrap w:val="0"/>
                  <w:vAlign w:val="center"/>
                </w:tcPr>
                <w:p>
                  <w:pPr>
                    <w:pStyle w:val="71"/>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color w:val="auto"/>
                      <w:sz w:val="21"/>
                      <w:szCs w:val="21"/>
                      <w:highlight w:val="none"/>
                    </w:rPr>
                    <w:t>一般固废</w:t>
                  </w:r>
                </w:p>
              </w:tc>
              <w:tc>
                <w:tcPr>
                  <w:tcW w:w="326" w:type="pct"/>
                  <w:tcBorders>
                    <w:tl2br w:val="nil"/>
                    <w:tr2bl w:val="nil"/>
                  </w:tcBorders>
                  <w:noWrap w:val="0"/>
                  <w:vAlign w:val="center"/>
                </w:tcPr>
                <w:p>
                  <w:pPr>
                    <w:pStyle w:val="71"/>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color w:val="auto"/>
                      <w:w w:val="100"/>
                      <w:sz w:val="21"/>
                      <w:szCs w:val="21"/>
                      <w:highlight w:val="none"/>
                      <w:lang w:val="en-US" w:eastAsia="zh-CN"/>
                    </w:rPr>
                    <w:t>900-999-66</w:t>
                  </w:r>
                </w:p>
              </w:tc>
              <w:tc>
                <w:tcPr>
                  <w:tcW w:w="370"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类比法</w:t>
                  </w:r>
                </w:p>
              </w:tc>
              <w:tc>
                <w:tcPr>
                  <w:tcW w:w="40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sz w:val="21"/>
                      <w:szCs w:val="21"/>
                      <w:highlight w:val="none"/>
                      <w:lang w:val="en-US" w:eastAsia="zh-CN"/>
                    </w:rPr>
                    <w:t>2117.02</w:t>
                  </w:r>
                </w:p>
              </w:tc>
              <w:tc>
                <w:tcPr>
                  <w:tcW w:w="15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363" w:type="pct"/>
                  <w:tcBorders>
                    <w:tl2br w:val="nil"/>
                    <w:tr2bl w:val="nil"/>
                  </w:tcBorders>
                  <w:noWrap w:val="0"/>
                  <w:vAlign w:val="center"/>
                </w:tcPr>
                <w:p>
                  <w:pPr>
                    <w:pStyle w:val="65"/>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氧化钙</w:t>
                  </w:r>
                </w:p>
              </w:tc>
              <w:tc>
                <w:tcPr>
                  <w:tcW w:w="408"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w w:val="100"/>
                      <w:sz w:val="21"/>
                      <w:szCs w:val="21"/>
                      <w:highlight w:val="none"/>
                    </w:rPr>
                    <w:t>/</w:t>
                  </w:r>
                </w:p>
              </w:tc>
              <w:tc>
                <w:tcPr>
                  <w:tcW w:w="90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原料堆场</w:t>
                  </w:r>
                </w:p>
              </w:tc>
              <w:tc>
                <w:tcPr>
                  <w:tcW w:w="47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一个月</w:t>
                  </w:r>
                </w:p>
              </w:tc>
              <w:tc>
                <w:tcPr>
                  <w:tcW w:w="402"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09"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日常办公</w:t>
                  </w:r>
                </w:p>
              </w:tc>
              <w:tc>
                <w:tcPr>
                  <w:tcW w:w="499"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378"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326"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w w:val="100"/>
                      <w:sz w:val="21"/>
                      <w:szCs w:val="21"/>
                      <w:highlight w:val="none"/>
                    </w:rPr>
                    <w:t>/</w:t>
                  </w:r>
                </w:p>
              </w:tc>
              <w:tc>
                <w:tcPr>
                  <w:tcW w:w="370"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w:t>
                  </w:r>
                  <w:r>
                    <w:rPr>
                      <w:rFonts w:hint="default" w:ascii="Times New Roman" w:hAnsi="Times New Roman" w:cs="Times New Roman"/>
                      <w:color w:val="auto"/>
                      <w:w w:val="100"/>
                      <w:sz w:val="21"/>
                      <w:szCs w:val="21"/>
                      <w:highlight w:val="none"/>
                    </w:rPr>
                    <w:t>法</w:t>
                  </w:r>
                </w:p>
              </w:tc>
              <w:tc>
                <w:tcPr>
                  <w:tcW w:w="402"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15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固态</w:t>
                  </w:r>
                </w:p>
              </w:tc>
              <w:tc>
                <w:tcPr>
                  <w:tcW w:w="363"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408"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w w:val="100"/>
                      <w:sz w:val="21"/>
                      <w:szCs w:val="21"/>
                      <w:highlight w:val="none"/>
                    </w:rPr>
                    <w:t>/</w:t>
                  </w:r>
                </w:p>
              </w:tc>
              <w:tc>
                <w:tcPr>
                  <w:tcW w:w="907"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环卫部门统一</w:t>
                  </w:r>
                </w:p>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w:t>
                  </w:r>
                </w:p>
              </w:tc>
              <w:tc>
                <w:tcPr>
                  <w:tcW w:w="475"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一天</w:t>
                  </w:r>
                </w:p>
              </w:tc>
              <w:tc>
                <w:tcPr>
                  <w:tcW w:w="402"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垃圾填埋场</w:t>
                  </w: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危险废物贮存场所基本情况一览表（单位：t/a）</w:t>
            </w:r>
          </w:p>
          <w:tbl>
            <w:tblPr>
              <w:tblStyle w:val="33"/>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3"/>
              <w:gridCol w:w="869"/>
              <w:gridCol w:w="607"/>
              <w:gridCol w:w="607"/>
              <w:gridCol w:w="607"/>
              <w:gridCol w:w="631"/>
              <w:gridCol w:w="1650"/>
              <w:gridCol w:w="348"/>
              <w:gridCol w:w="742"/>
              <w:gridCol w:w="990"/>
              <w:gridCol w:w="521"/>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479"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固体废物名称</w:t>
                  </w:r>
                </w:p>
              </w:tc>
              <w:tc>
                <w:tcPr>
                  <w:tcW w:w="335"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生产工序</w:t>
                  </w:r>
                </w:p>
              </w:tc>
              <w:tc>
                <w:tcPr>
                  <w:tcW w:w="335"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产生周期</w:t>
                  </w:r>
                </w:p>
              </w:tc>
              <w:tc>
                <w:tcPr>
                  <w:tcW w:w="335"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暂存周期</w:t>
                  </w:r>
                </w:p>
              </w:tc>
              <w:tc>
                <w:tcPr>
                  <w:tcW w:w="348"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最大存量</w:t>
                  </w:r>
                </w:p>
              </w:tc>
              <w:tc>
                <w:tcPr>
                  <w:tcW w:w="910"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暂存场所</w:t>
                  </w:r>
                </w:p>
              </w:tc>
              <w:tc>
                <w:tcPr>
                  <w:tcW w:w="192"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属性</w:t>
                  </w:r>
                </w:p>
              </w:tc>
              <w:tc>
                <w:tcPr>
                  <w:tcW w:w="409"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危废类别</w:t>
                  </w:r>
                </w:p>
              </w:tc>
              <w:tc>
                <w:tcPr>
                  <w:tcW w:w="546"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废物代码</w:t>
                  </w:r>
                </w:p>
              </w:tc>
              <w:tc>
                <w:tcPr>
                  <w:tcW w:w="287"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产生量</w:t>
                  </w:r>
                </w:p>
              </w:tc>
              <w:tc>
                <w:tcPr>
                  <w:tcW w:w="630" w:type="pct"/>
                  <w:vMerge w:val="restar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处置</w:t>
                  </w:r>
                  <w:r>
                    <w:rPr>
                      <w:rFonts w:hint="default" w:ascii="Times New Roman" w:hAnsi="Times New Roman" w:cs="Times New Roman"/>
                      <w:color w:val="auto"/>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4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3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3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3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3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1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4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5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287" w:type="pct"/>
                  <w:vMerge w:val="continue"/>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c>
                <w:tcPr>
                  <w:tcW w:w="63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47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废机油</w:t>
                  </w:r>
                </w:p>
              </w:tc>
              <w:tc>
                <w:tcPr>
                  <w:tcW w:w="335"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各工序</w:t>
                  </w:r>
                </w:p>
              </w:tc>
              <w:tc>
                <w:tcPr>
                  <w:tcW w:w="335"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每半年</w:t>
                  </w: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一年</w:t>
                  </w: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t</w:t>
                  </w:r>
                </w:p>
              </w:tc>
              <w:tc>
                <w:tcPr>
                  <w:tcW w:w="910" w:type="pct"/>
                  <w:tcBorders>
                    <w:tl2br w:val="nil"/>
                    <w:tr2bl w:val="nil"/>
                  </w:tcBorders>
                  <w:noWrap w:val="0"/>
                  <w:vAlign w:val="center"/>
                </w:tcPr>
                <w:p>
                  <w:pPr>
                    <w:adjustRightInd w:val="0"/>
                    <w:spacing w:line="240" w:lineRule="exact"/>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Cs/>
                      <w:color w:val="auto"/>
                      <w:sz w:val="21"/>
                      <w:szCs w:val="21"/>
                      <w:highlight w:val="none"/>
                    </w:rPr>
                    <w:t>危废暂存间</w:t>
                  </w:r>
                  <w:r>
                    <w:rPr>
                      <w:rFonts w:hint="eastAsia" w:cs="Times New Roman"/>
                      <w:bCs/>
                      <w:color w:val="auto"/>
                      <w:sz w:val="21"/>
                      <w:szCs w:val="21"/>
                      <w:highlight w:val="none"/>
                      <w:lang w:val="en-US" w:eastAsia="zh-CN"/>
                    </w:rPr>
                    <w:t>24</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bCs/>
                      <w:color w:val="auto"/>
                      <w:sz w:val="21"/>
                      <w:szCs w:val="21"/>
                      <w:highlight w:val="none"/>
                      <w:lang w:eastAsia="zh-CN"/>
                    </w:rPr>
                    <w:t>（依托）</w:t>
                  </w:r>
                </w:p>
              </w:tc>
              <w:tc>
                <w:tcPr>
                  <w:tcW w:w="192"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T</w:t>
                  </w:r>
                </w:p>
              </w:tc>
              <w:tc>
                <w:tcPr>
                  <w:tcW w:w="40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HW08</w:t>
                  </w:r>
                </w:p>
              </w:tc>
              <w:tc>
                <w:tcPr>
                  <w:tcW w:w="546"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w w:val="100"/>
                      <w:sz w:val="21"/>
                      <w:szCs w:val="21"/>
                      <w:highlight w:val="none"/>
                      <w:lang w:val="en-US" w:eastAsia="zh-CN"/>
                    </w:rPr>
                  </w:pPr>
                  <w:r>
                    <w:rPr>
                      <w:rFonts w:hint="default" w:ascii="Times New Roman" w:hAnsi="Times New Roman" w:cs="Times New Roman"/>
                      <w:color w:val="auto"/>
                      <w:sz w:val="21"/>
                      <w:szCs w:val="21"/>
                      <w:highlight w:val="none"/>
                      <w:lang w:eastAsia="zh-CN"/>
                    </w:rPr>
                    <w:t>900-2</w:t>
                  </w:r>
                  <w:r>
                    <w:rPr>
                      <w:rFonts w:hint="eastAsia" w:cs="Times New Roman"/>
                      <w:color w:val="auto"/>
                      <w:sz w:val="21"/>
                      <w:szCs w:val="21"/>
                      <w:highlight w:val="none"/>
                      <w:lang w:val="en-US" w:eastAsia="zh-CN"/>
                    </w:rPr>
                    <w:t>49</w:t>
                  </w:r>
                  <w:r>
                    <w:rPr>
                      <w:rFonts w:hint="default" w:ascii="Times New Roman" w:hAnsi="Times New Roman" w:cs="Times New Roman"/>
                      <w:color w:val="auto"/>
                      <w:sz w:val="21"/>
                      <w:szCs w:val="21"/>
                      <w:highlight w:val="none"/>
                      <w:lang w:eastAsia="zh-CN"/>
                    </w:rPr>
                    <w:t>-08</w:t>
                  </w:r>
                </w:p>
              </w:tc>
              <w:tc>
                <w:tcPr>
                  <w:tcW w:w="28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b w:val="0"/>
                      <w:bCs/>
                      <w:color w:val="auto"/>
                      <w:kern w:val="2"/>
                      <w:sz w:val="21"/>
                      <w:szCs w:val="21"/>
                      <w:highlight w:val="none"/>
                      <w:lang w:val="en-US" w:eastAsia="zh-CN" w:bidi="ar-SA"/>
                    </w:rPr>
                    <w:t>0.</w:t>
                  </w:r>
                  <w:r>
                    <w:rPr>
                      <w:rFonts w:hint="eastAsia" w:cs="Times New Roman"/>
                      <w:b w:val="0"/>
                      <w:bCs/>
                      <w:color w:val="auto"/>
                      <w:kern w:val="2"/>
                      <w:sz w:val="21"/>
                      <w:szCs w:val="21"/>
                      <w:highlight w:val="none"/>
                      <w:lang w:val="en-US" w:eastAsia="zh-CN" w:bidi="ar-SA"/>
                    </w:rPr>
                    <w:t>5</w:t>
                  </w:r>
                </w:p>
              </w:tc>
              <w:tc>
                <w:tcPr>
                  <w:tcW w:w="63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68" w:type="pct"/>
                  <w:gridSpan w:val="2"/>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小计</w:t>
                  </w:r>
                </w:p>
              </w:tc>
              <w:tc>
                <w:tcPr>
                  <w:tcW w:w="335"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color w:val="auto"/>
                      <w:sz w:val="21"/>
                      <w:szCs w:val="21"/>
                      <w:highlight w:val="none"/>
                      <w:lang w:val="en-US" w:eastAsia="zh-CN"/>
                    </w:rPr>
                  </w:pPr>
                </w:p>
              </w:tc>
              <w:tc>
                <w:tcPr>
                  <w:tcW w:w="335" w:type="pct"/>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335"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p>
              </w:tc>
              <w:tc>
                <w:tcPr>
                  <w:tcW w:w="34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p>
              </w:tc>
              <w:tc>
                <w:tcPr>
                  <w:tcW w:w="910"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cs="Times New Roman"/>
                      <w:bCs/>
                      <w:color w:val="auto"/>
                      <w:sz w:val="21"/>
                      <w:szCs w:val="21"/>
                      <w:highlight w:val="none"/>
                    </w:rPr>
                  </w:pPr>
                </w:p>
              </w:tc>
              <w:tc>
                <w:tcPr>
                  <w:tcW w:w="192"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p>
              </w:tc>
              <w:tc>
                <w:tcPr>
                  <w:tcW w:w="409"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p>
              </w:tc>
              <w:tc>
                <w:tcPr>
                  <w:tcW w:w="546" w:type="pct"/>
                  <w:tcBorders>
                    <w:tl2br w:val="nil"/>
                    <w:tr2bl w:val="nil"/>
                  </w:tcBorders>
                  <w:noWrap w:val="0"/>
                  <w:vAlign w:val="center"/>
                </w:tcPr>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p>
              </w:tc>
              <w:tc>
                <w:tcPr>
                  <w:tcW w:w="2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sum(K3:K5)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fldChar w:fldCharType="end"/>
                  </w:r>
                </w:p>
              </w:tc>
              <w:tc>
                <w:tcPr>
                  <w:tcW w:w="6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color w:val="auto"/>
                      <w:sz w:val="21"/>
                      <w:szCs w:val="21"/>
                      <w:highlight w:val="none"/>
                    </w:rPr>
                  </w:pPr>
                </w:p>
              </w:tc>
            </w:tr>
          </w:tbl>
          <w:p>
            <w:pPr>
              <w:pStyle w:val="45"/>
              <w:keepNext w:val="0"/>
              <w:keepLines w:val="0"/>
              <w:pageBreakBefore w:val="0"/>
              <w:widowControl w:val="0"/>
              <w:kinsoku/>
              <w:wordWrap/>
              <w:overflowPunct/>
              <w:topLinePunct w:val="0"/>
              <w:autoSpaceDE/>
              <w:autoSpaceDN/>
              <w:bidi w:val="0"/>
              <w:adjustRightInd w:val="0"/>
              <w:snapToGrid w:val="0"/>
              <w:spacing w:before="110" w:beforeLines="30"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4.2.4.2  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lang w:eastAsia="zh-CN"/>
              </w:rPr>
            </w:pPr>
            <w:r>
              <w:rPr>
                <w:rFonts w:hint="default" w:ascii="Times New Roman" w:hAnsi="Times New Roman" w:cs="Times New Roman"/>
                <w:color w:val="auto"/>
                <w:kern w:val="0"/>
                <w:sz w:val="24"/>
                <w:highlight w:val="none"/>
                <w:lang w:eastAsia="zh-CN"/>
              </w:rPr>
              <w:t>项目的生产固体废物有一般工业固废和危险废物。其中一般工业固废</w:t>
            </w:r>
            <w:r>
              <w:rPr>
                <w:rFonts w:hint="default" w:ascii="Times New Roman" w:hAnsi="Times New Roman" w:cs="Times New Roman"/>
                <w:color w:val="auto"/>
                <w:kern w:val="0"/>
                <w:sz w:val="24"/>
                <w:highlight w:val="none"/>
                <w:lang w:val="en-US" w:eastAsia="zh-CN"/>
              </w:rPr>
              <w:t>除尘</w:t>
            </w:r>
            <w:r>
              <w:rPr>
                <w:rFonts w:hint="eastAsia" w:cs="Times New Roman"/>
                <w:color w:val="auto"/>
                <w:kern w:val="0"/>
                <w:sz w:val="24"/>
                <w:highlight w:val="none"/>
                <w:lang w:val="en-US" w:eastAsia="zh-CN"/>
              </w:rPr>
              <w:t>灰2117.02</w:t>
            </w:r>
            <w:r>
              <w:rPr>
                <w:rFonts w:hint="default" w:ascii="Times New Roman" w:hAnsi="Times New Roman" w:cs="Times New Roman"/>
                <w:color w:val="auto"/>
                <w:kern w:val="0"/>
                <w:sz w:val="24"/>
                <w:highlight w:val="none"/>
                <w:lang w:eastAsia="zh-CN"/>
              </w:rPr>
              <w:t>吨/年</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lang w:eastAsia="zh-CN"/>
              </w:rPr>
              <w:t>危险废物废机油</w:t>
            </w:r>
            <w:r>
              <w:rPr>
                <w:rFonts w:hint="default" w:ascii="Times New Roman" w:hAnsi="Times New Roman" w:cs="Times New Roman"/>
                <w:color w:val="auto"/>
                <w:kern w:val="0"/>
                <w:sz w:val="24"/>
                <w:highlight w:val="none"/>
                <w:lang w:val="en-US" w:eastAsia="zh-CN"/>
              </w:rPr>
              <w:t>0.</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lang w:eastAsia="zh-CN"/>
              </w:rPr>
              <w:t>吨/年</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无新增人员，</w:t>
            </w:r>
            <w:r>
              <w:rPr>
                <w:rFonts w:hint="default" w:ascii="Times New Roman" w:hAnsi="Times New Roman" w:cs="Times New Roman"/>
                <w:color w:val="auto"/>
                <w:kern w:val="0"/>
                <w:sz w:val="24"/>
                <w:highlight w:val="none"/>
                <w:lang w:eastAsia="zh-CN"/>
              </w:rPr>
              <w:t>生活垃圾排放量</w:t>
            </w:r>
            <w:r>
              <w:rPr>
                <w:rFonts w:hint="eastAsia" w:cs="Times New Roman"/>
                <w:color w:val="auto"/>
                <w:kern w:val="0"/>
                <w:sz w:val="24"/>
                <w:highlight w:val="none"/>
                <w:lang w:val="en-US" w:eastAsia="zh-CN"/>
              </w:rPr>
              <w:t>24</w:t>
            </w:r>
            <w:r>
              <w:rPr>
                <w:rFonts w:hint="default" w:ascii="Times New Roman" w:hAnsi="Times New Roman" w:cs="Times New Roman"/>
                <w:color w:val="auto"/>
                <w:kern w:val="0"/>
                <w:sz w:val="24"/>
                <w:highlight w:val="none"/>
                <w:lang w:val="en-US" w:eastAsia="zh-CN"/>
              </w:rPr>
              <w:t>吨/年。除尘</w:t>
            </w:r>
            <w:r>
              <w:rPr>
                <w:rFonts w:hint="eastAsia" w:cs="Times New Roman"/>
                <w:color w:val="auto"/>
                <w:kern w:val="0"/>
                <w:sz w:val="24"/>
                <w:highlight w:val="none"/>
                <w:lang w:val="en-US" w:eastAsia="zh-CN"/>
              </w:rPr>
              <w:t>灰</w:t>
            </w:r>
            <w:r>
              <w:rPr>
                <w:rFonts w:hint="eastAsia" w:ascii="Times New Roman" w:hAnsi="Times New Roman" w:cs="Times New Roman"/>
                <w:color w:val="auto"/>
                <w:kern w:val="0"/>
                <w:sz w:val="24"/>
                <w:highlight w:val="none"/>
                <w:lang w:val="en-US" w:eastAsia="zh-CN"/>
              </w:rPr>
              <w:t>即为钢渣细粉，定期外售</w:t>
            </w:r>
            <w:r>
              <w:rPr>
                <w:rFonts w:hint="default" w:ascii="Times New Roman" w:hAnsi="Times New Roman" w:cs="Times New Roman"/>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lang w:val="en-US" w:eastAsia="zh-CN"/>
              </w:rPr>
              <w:t>现有工程</w:t>
            </w:r>
            <w:r>
              <w:rPr>
                <w:rFonts w:hint="default" w:ascii="Times New Roman" w:hAnsi="Times New Roman" w:cs="Times New Roman"/>
                <w:color w:val="auto"/>
                <w:kern w:val="0"/>
                <w:sz w:val="24"/>
                <w:highlight w:val="none"/>
                <w:lang w:eastAsia="zh-CN"/>
              </w:rPr>
              <w:t>危险废物临时贮存间面积</w:t>
            </w:r>
            <w:r>
              <w:rPr>
                <w:rFonts w:hint="eastAsia" w:cs="Times New Roman"/>
                <w:color w:val="auto"/>
                <w:kern w:val="0"/>
                <w:sz w:val="24"/>
                <w:highlight w:val="none"/>
                <w:lang w:val="en-US" w:eastAsia="zh-CN"/>
              </w:rPr>
              <w:t>24</w:t>
            </w:r>
            <w:r>
              <w:rPr>
                <w:rFonts w:hint="default" w:ascii="Times New Roman" w:hAnsi="Times New Roman" w:cs="Times New Roman"/>
                <w:color w:val="auto"/>
                <w:kern w:val="0"/>
                <w:sz w:val="24"/>
                <w:highlight w:val="none"/>
                <w:lang w:eastAsia="zh-CN"/>
              </w:rPr>
              <w:t>m</w:t>
            </w:r>
            <w:r>
              <w:rPr>
                <w:rFonts w:hint="default" w:ascii="Times New Roman" w:hAnsi="Times New Roman" w:cs="Times New Roman"/>
                <w:color w:val="auto"/>
                <w:kern w:val="0"/>
                <w:sz w:val="24"/>
                <w:highlight w:val="none"/>
                <w:vertAlign w:val="superscript"/>
                <w:lang w:eastAsia="zh-CN"/>
              </w:rPr>
              <w:t>2</w:t>
            </w:r>
            <w:r>
              <w:rPr>
                <w:rFonts w:hint="default" w:ascii="Times New Roman" w:hAnsi="Times New Roman" w:cs="Times New Roman"/>
                <w:color w:val="auto"/>
                <w:kern w:val="0"/>
                <w:sz w:val="24"/>
                <w:highlight w:val="none"/>
                <w:lang w:eastAsia="zh-CN"/>
              </w:rPr>
              <w:t>，贮存量</w:t>
            </w:r>
            <w:r>
              <w:rPr>
                <w:rFonts w:hint="eastAsia"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吨。本项目危险废物产生量较少，现有危废暂存间可满足本项目储存需求。危险废物贮存在危险废物暂存间，按照危险废物管理方法进行管理，委托福建</w:t>
            </w:r>
            <w:r>
              <w:rPr>
                <w:rFonts w:hint="eastAsia" w:cs="Times New Roman"/>
                <w:color w:val="auto"/>
                <w:kern w:val="0"/>
                <w:sz w:val="24"/>
                <w:highlight w:val="none"/>
                <w:lang w:val="en-US" w:eastAsia="zh-CN"/>
              </w:rPr>
              <w:t>省三明辉润石化有限公司</w:t>
            </w:r>
            <w:r>
              <w:rPr>
                <w:rFonts w:hint="default" w:ascii="Times New Roman" w:hAnsi="Times New Roman" w:cs="Times New Roman"/>
                <w:color w:val="auto"/>
                <w:kern w:val="0"/>
                <w:sz w:val="24"/>
                <w:highlight w:val="none"/>
                <w:lang w:eastAsia="zh-CN"/>
              </w:rPr>
              <w:t>定期处置（</w:t>
            </w:r>
            <w:r>
              <w:rPr>
                <w:rFonts w:hint="default" w:ascii="Times New Roman" w:hAnsi="Times New Roman" w:cs="Times New Roman"/>
                <w:color w:val="auto"/>
                <w:kern w:val="0"/>
                <w:sz w:val="24"/>
                <w:highlight w:val="none"/>
                <w:lang w:val="en-US" w:eastAsia="zh-CN"/>
              </w:rPr>
              <w:t>处置协议见附件十</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kern w:val="0"/>
                <w:sz w:val="24"/>
                <w:highlight w:val="none"/>
                <w:lang w:eastAsia="zh-CN"/>
              </w:rPr>
              <w:t>生活垃圾暂存厂内垃圾箱，由环卫部门清运和统一处置。采取以上措施后，固废排放对周边环境影响较小。</w:t>
            </w:r>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4.2.4.3  环保措施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bookmarkStart w:id="238" w:name="_Toc31058"/>
            <w:r>
              <w:rPr>
                <w:rFonts w:hint="default" w:ascii="Times New Roman" w:hAnsi="Times New Roman" w:eastAsia="宋体" w:cs="Times New Roman"/>
                <w:color w:val="auto"/>
                <w:kern w:val="0"/>
                <w:sz w:val="24"/>
                <w:highlight w:val="none"/>
                <w:lang w:val="en-US" w:eastAsia="zh-CN"/>
              </w:rPr>
              <w:t>（1）一般固废</w:t>
            </w:r>
            <w:bookmarkEnd w:id="23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生活垃圾暂存设施：在生活区附近设生活垃圾临时存放点。生活垃圾临时存放点经常维护，保证门、盖齐全完好，并定期消毒，由当地环卫部门统一清运处理。此外，在生产区各功能区设置垃圾桶，生活垃圾必须每日定点收集，及时清运至垃圾转运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eastAsia="zh-CN"/>
              </w:rPr>
              <w:t>项目所产生的一般固体废弃物得到综合利用或妥善处置，固体废弃物处理处置措施可行</w:t>
            </w:r>
            <w:r>
              <w:rPr>
                <w:rFonts w:hint="default" w:ascii="Times New Roman" w:hAnsi="Times New Roman" w:eastAsia="宋体" w:cs="Times New Roman"/>
                <w:color w:val="auto"/>
                <w:kern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bookmarkStart w:id="239" w:name="_Toc17016"/>
            <w:r>
              <w:rPr>
                <w:rFonts w:hint="default" w:ascii="Times New Roman" w:hAnsi="Times New Roman" w:eastAsia="宋体" w:cs="Times New Roman"/>
                <w:color w:val="auto"/>
                <w:kern w:val="0"/>
                <w:sz w:val="24"/>
                <w:highlight w:val="none"/>
                <w:lang w:val="en-US" w:eastAsia="zh-CN"/>
              </w:rPr>
              <w:t>（2）危险废物</w:t>
            </w:r>
            <w:bookmarkEnd w:id="239"/>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kern w:val="0"/>
                <w:sz w:val="24"/>
                <w:highlight w:val="none"/>
                <w:lang w:val="en-US" w:eastAsia="zh-CN"/>
              </w:rPr>
            </w:pPr>
            <w:bookmarkStart w:id="240" w:name="_Toc7618"/>
            <w:r>
              <w:rPr>
                <w:rFonts w:hint="default" w:ascii="Times New Roman" w:hAnsi="Times New Roman" w:eastAsia="宋体" w:cs="Times New Roman"/>
                <w:color w:val="auto"/>
                <w:kern w:val="0"/>
                <w:sz w:val="24"/>
                <w:highlight w:val="none"/>
                <w:lang w:val="en-US" w:eastAsia="zh-CN"/>
              </w:rPr>
              <w:t>项目危险废物依托</w:t>
            </w:r>
            <w:r>
              <w:rPr>
                <w:rFonts w:hint="eastAsia" w:cs="Times New Roman"/>
                <w:color w:val="auto"/>
                <w:kern w:val="0"/>
                <w:sz w:val="24"/>
                <w:highlight w:val="none"/>
                <w:lang w:eastAsia="zh-CN"/>
              </w:rPr>
              <w:t>福安市青拓环保建材有限公司</w:t>
            </w:r>
            <w:r>
              <w:rPr>
                <w:rFonts w:hint="default" w:ascii="Times New Roman" w:hAnsi="Times New Roman" w:eastAsia="宋体" w:cs="Times New Roman"/>
                <w:color w:val="auto"/>
                <w:kern w:val="0"/>
                <w:sz w:val="24"/>
                <w:highlight w:val="none"/>
                <w:lang w:val="en-US" w:eastAsia="zh-CN"/>
              </w:rPr>
              <w:t>现有</w:t>
            </w:r>
            <w:r>
              <w:rPr>
                <w:rFonts w:hint="default" w:ascii="Times New Roman" w:hAnsi="Times New Roman" w:eastAsia="宋体" w:cs="Times New Roman"/>
                <w:color w:val="auto"/>
                <w:kern w:val="0"/>
                <w:sz w:val="24"/>
                <w:highlight w:val="none"/>
                <w:lang w:eastAsia="zh-CN"/>
              </w:rPr>
              <w:t>危险废物临时贮存间</w:t>
            </w:r>
            <w:r>
              <w:rPr>
                <w:rFonts w:hint="default" w:ascii="Times New Roman" w:hAnsi="Times New Roman" w:eastAsia="宋体" w:cs="Times New Roman"/>
                <w:color w:val="auto"/>
                <w:kern w:val="0"/>
                <w:sz w:val="24"/>
                <w:highlight w:val="none"/>
                <w:lang w:val="en-US" w:eastAsia="zh-CN"/>
              </w:rPr>
              <w:t>，面积</w:t>
            </w:r>
            <w:r>
              <w:rPr>
                <w:rFonts w:hint="eastAsia" w:cs="Times New Roman"/>
                <w:color w:val="auto"/>
                <w:kern w:val="0"/>
                <w:sz w:val="24"/>
                <w:highlight w:val="none"/>
                <w:lang w:val="en-US" w:eastAsia="zh-CN"/>
              </w:rPr>
              <w:t>24</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2</w:t>
            </w:r>
            <w:r>
              <w:rPr>
                <w:rFonts w:hint="default" w:ascii="Times New Roman" w:hAnsi="Times New Roman" w:eastAsia="宋体" w:cs="Times New Roman"/>
                <w:color w:val="auto"/>
                <w:kern w:val="0"/>
                <w:sz w:val="24"/>
                <w:highlight w:val="none"/>
                <w:lang w:val="en-US" w:eastAsia="zh-CN"/>
              </w:rPr>
              <w:t>，危废间贮存量</w:t>
            </w: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吨</w:t>
            </w:r>
            <w:r>
              <w:rPr>
                <w:rFonts w:hint="default" w:ascii="Times New Roman" w:hAnsi="Times New Roman" w:eastAsia="宋体" w:cs="Times New Roman"/>
                <w:color w:val="auto"/>
                <w:kern w:val="0"/>
                <w:sz w:val="24"/>
                <w:highlight w:val="none"/>
                <w:lang w:eastAsia="zh-CN"/>
              </w:rPr>
              <w:t>。</w:t>
            </w:r>
            <w:r>
              <w:rPr>
                <w:rFonts w:hint="eastAsia" w:cs="Times New Roman"/>
                <w:color w:val="auto"/>
                <w:kern w:val="0"/>
                <w:sz w:val="24"/>
                <w:highlight w:val="none"/>
                <w:lang w:val="en-US" w:eastAsia="zh-CN"/>
              </w:rPr>
              <w:t>根据《福安市青拓环保建材有限公司年处理300万吨工业废渣综合利用项目竣工环境保护验收监测报告</w:t>
            </w: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危废贮存间</w:t>
            </w:r>
            <w:r>
              <w:rPr>
                <w:rFonts w:hint="eastAsia" w:cs="Times New Roman"/>
                <w:color w:val="auto"/>
                <w:kern w:val="0"/>
                <w:sz w:val="24"/>
                <w:highlight w:val="none"/>
                <w:lang w:val="en-US" w:eastAsia="zh-CN"/>
              </w:rPr>
              <w:t>按照</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eastAsia="zh-CN"/>
              </w:rPr>
              <w:t>危险废物贮存污染控制标准》（</w:t>
            </w:r>
            <w:r>
              <w:rPr>
                <w:rFonts w:hint="eastAsia" w:cs="Times New Roman"/>
                <w:color w:val="auto"/>
                <w:kern w:val="0"/>
                <w:sz w:val="24"/>
                <w:highlight w:val="none"/>
                <w:lang w:val="en-US" w:eastAsia="zh-CN"/>
              </w:rPr>
              <w:t>GB 18597-2001</w:t>
            </w:r>
            <w:r>
              <w:rPr>
                <w:rFonts w:hint="default" w:ascii="Times New Roman" w:hAnsi="Times New Roman" w:eastAsia="宋体" w:cs="Times New Roman"/>
                <w:color w:val="auto"/>
                <w:kern w:val="0"/>
                <w:sz w:val="24"/>
                <w:highlight w:val="none"/>
                <w:lang w:eastAsia="zh-CN"/>
              </w:rPr>
              <w:t>）</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地面和墙裙采用防渗处理（硬化），设置有照明设施（日光灯）和通风设施（换气扇）；危废贮存间内粘贴有《危险废物出入库流程图》；危废贮存间外设置有明显的危险废物</w:t>
            </w:r>
            <w:r>
              <w:rPr>
                <w:rFonts w:hint="eastAsia" w:cs="Times New Roman"/>
                <w:color w:val="auto"/>
                <w:kern w:val="0"/>
                <w:sz w:val="24"/>
                <w:highlight w:val="none"/>
                <w:lang w:val="en-US" w:eastAsia="zh-CN"/>
              </w:rPr>
              <w:t>警示标识</w:t>
            </w:r>
            <w:r>
              <w:rPr>
                <w:rFonts w:hint="default" w:ascii="Times New Roman" w:hAnsi="Times New Roman" w:eastAsia="宋体" w:cs="Times New Roman"/>
                <w:color w:val="auto"/>
                <w:kern w:val="0"/>
                <w:sz w:val="24"/>
                <w:highlight w:val="none"/>
                <w:lang w:val="en-US" w:eastAsia="zh-CN"/>
              </w:rPr>
              <w:t>；危废贮存间设置有台账，危废入库时，有计量</w:t>
            </w:r>
            <w:r>
              <w:rPr>
                <w:rFonts w:hint="eastAsia" w:cs="Times New Roman"/>
                <w:color w:val="auto"/>
                <w:kern w:val="0"/>
                <w:sz w:val="24"/>
                <w:highlight w:val="none"/>
                <w:lang w:val="en-US" w:eastAsia="zh-CN"/>
              </w:rPr>
              <w:t>且</w:t>
            </w:r>
            <w:r>
              <w:rPr>
                <w:rFonts w:hint="default" w:ascii="Times New Roman" w:hAnsi="Times New Roman" w:eastAsia="宋体" w:cs="Times New Roman"/>
                <w:color w:val="auto"/>
                <w:kern w:val="0"/>
                <w:sz w:val="24"/>
                <w:highlight w:val="none"/>
                <w:lang w:val="en-US" w:eastAsia="zh-CN"/>
              </w:rPr>
              <w:t>登记记录</w:t>
            </w:r>
            <w:r>
              <w:rPr>
                <w:rFonts w:hint="eastAsia" w:cs="Times New Roman"/>
                <w:color w:val="auto"/>
                <w:kern w:val="0"/>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val="en-US" w:eastAsia="zh-CN"/>
              </w:rPr>
              <w:t>对照《</w:t>
            </w:r>
            <w:r>
              <w:rPr>
                <w:rFonts w:hint="default" w:ascii="Times New Roman" w:hAnsi="Times New Roman" w:eastAsia="宋体" w:cs="Times New Roman"/>
                <w:color w:val="auto"/>
                <w:kern w:val="0"/>
                <w:sz w:val="24"/>
                <w:highlight w:val="none"/>
                <w:lang w:eastAsia="zh-CN"/>
              </w:rPr>
              <w:t>危险废物贮存污染控制标准》（GB 18597-2023）</w:t>
            </w:r>
            <w:r>
              <w:rPr>
                <w:rFonts w:hint="default" w:ascii="Times New Roman" w:hAnsi="Times New Roman" w:eastAsia="宋体" w:cs="Times New Roman"/>
                <w:color w:val="auto"/>
                <w:kern w:val="0"/>
                <w:sz w:val="24"/>
                <w:highlight w:val="none"/>
                <w:lang w:val="en-US" w:eastAsia="zh-CN"/>
              </w:rPr>
              <w:t>的相关要求，</w:t>
            </w:r>
            <w:r>
              <w:rPr>
                <w:rFonts w:hint="eastAsia" w:cs="Times New Roman"/>
                <w:color w:val="auto"/>
                <w:kern w:val="0"/>
                <w:sz w:val="24"/>
                <w:highlight w:val="none"/>
                <w:lang w:eastAsia="zh-CN"/>
              </w:rPr>
              <w:t>福安市青拓环保建材有限公司</w:t>
            </w:r>
            <w:r>
              <w:rPr>
                <w:rFonts w:hint="eastAsia" w:cs="Times New Roman"/>
                <w:color w:val="auto"/>
                <w:kern w:val="0"/>
                <w:sz w:val="24"/>
                <w:highlight w:val="none"/>
                <w:lang w:val="en-US" w:eastAsia="zh-CN"/>
              </w:rPr>
              <w:t>还</w:t>
            </w:r>
            <w:r>
              <w:rPr>
                <w:rFonts w:hint="default" w:ascii="Times New Roman" w:hAnsi="Times New Roman" w:eastAsia="宋体" w:cs="Times New Roman"/>
                <w:color w:val="auto"/>
                <w:kern w:val="0"/>
                <w:sz w:val="24"/>
                <w:highlight w:val="none"/>
                <w:lang w:val="en-US" w:eastAsia="zh-CN"/>
              </w:rPr>
              <w:t>应根据危险废物的类别、数量、形态、物理化学性质和污染防治等要求细化设置必要的贮存分区，</w:t>
            </w:r>
            <w:r>
              <w:rPr>
                <w:rFonts w:hint="default" w:ascii="Times New Roman" w:hAnsi="Times New Roman" w:cs="Times New Roman"/>
                <w:color w:val="auto"/>
                <w:kern w:val="0"/>
                <w:sz w:val="24"/>
                <w:highlight w:val="none"/>
                <w:lang w:val="en-US" w:eastAsia="zh-CN"/>
              </w:rPr>
              <w:t>设分区标识，</w:t>
            </w:r>
            <w:r>
              <w:rPr>
                <w:rFonts w:hint="default" w:ascii="Times New Roman" w:hAnsi="Times New Roman" w:eastAsia="宋体" w:cs="Times New Roman"/>
                <w:color w:val="auto"/>
                <w:kern w:val="0"/>
                <w:sz w:val="24"/>
                <w:highlight w:val="none"/>
                <w:lang w:val="en-US" w:eastAsia="zh-CN"/>
              </w:rPr>
              <w:t>避免不相容的危险废物接触、混合</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不同贮存分区之间应采取隔离措施</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隔离措施可根据危险废物特性采用过道、隔板或隔墙等方式</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完善相关环境管理要求和危险废物贮存设施环境应急要求</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规范危险废物标签尺寸</w:t>
            </w:r>
            <w:r>
              <w:rPr>
                <w:rFonts w:hint="eastAsia" w:cs="Times New Roman"/>
                <w:color w:val="auto"/>
                <w:kern w:val="0"/>
                <w:sz w:val="24"/>
                <w:highlight w:val="none"/>
                <w:lang w:val="en-US" w:eastAsia="zh-CN"/>
              </w:rPr>
              <w:t>，完善危险废物电子标签</w:t>
            </w:r>
            <w:r>
              <w:rPr>
                <w:rFonts w:hint="default" w:ascii="Times New Roman" w:hAnsi="Times New Roman" w:cs="Times New Roman"/>
                <w:color w:val="auto"/>
                <w:kern w:val="0"/>
                <w:sz w:val="24"/>
                <w:highlight w:val="none"/>
                <w:lang w:val="en-US" w:eastAsia="zh-CN"/>
              </w:rPr>
              <w:t>。</w:t>
            </w:r>
            <w:r>
              <w:rPr>
                <w:rFonts w:hint="eastAsia" w:cs="Times New Roman"/>
                <w:color w:val="auto"/>
                <w:kern w:val="0"/>
                <w:sz w:val="24"/>
                <w:highlight w:val="none"/>
                <w:lang w:eastAsia="zh-CN"/>
              </w:rPr>
              <w:t>福安市青拓环保建材有限公司</w:t>
            </w:r>
            <w:r>
              <w:rPr>
                <w:rFonts w:hint="default" w:ascii="Times New Roman" w:hAnsi="Times New Roman" w:cs="Times New Roman"/>
                <w:color w:val="auto"/>
                <w:kern w:val="0"/>
                <w:sz w:val="24"/>
                <w:highlight w:val="none"/>
                <w:lang w:val="en-US" w:eastAsia="zh-CN"/>
              </w:rPr>
              <w:t>应</w:t>
            </w:r>
            <w:r>
              <w:rPr>
                <w:rFonts w:hint="default" w:ascii="Times New Roman" w:hAnsi="Times New Roman" w:eastAsia="宋体" w:cs="Times New Roman"/>
                <w:color w:val="auto"/>
                <w:kern w:val="0"/>
                <w:sz w:val="24"/>
                <w:highlight w:val="none"/>
                <w:lang w:val="en-US" w:eastAsia="zh-CN"/>
              </w:rPr>
              <w:t>确保</w:t>
            </w:r>
            <w:r>
              <w:rPr>
                <w:rFonts w:hint="default" w:ascii="Times New Roman" w:hAnsi="Times New Roman" w:cs="Times New Roman"/>
                <w:color w:val="auto"/>
                <w:kern w:val="0"/>
                <w:sz w:val="24"/>
                <w:highlight w:val="none"/>
                <w:lang w:val="en-US" w:eastAsia="zh-CN"/>
              </w:rPr>
              <w:t>危废间日常运行时满足</w:t>
            </w:r>
            <w:r>
              <w:rPr>
                <w:rFonts w:hint="default" w:ascii="Times New Roman" w:hAnsi="Times New Roman" w:eastAsia="宋体" w:cs="Times New Roman"/>
                <w:color w:val="auto"/>
                <w:kern w:val="0"/>
                <w:sz w:val="24"/>
                <w:highlight w:val="none"/>
                <w:lang w:val="en-US" w:eastAsia="zh-CN"/>
              </w:rPr>
              <w:t>贮存设施运行污染控制要求</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容器和包装物污染控制要求</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贮存过程污染控制要求</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污染物排放控制要求，</w:t>
            </w:r>
            <w:r>
              <w:rPr>
                <w:rFonts w:hint="default" w:ascii="Times New Roman" w:hAnsi="Times New Roman" w:cs="Times New Roman"/>
                <w:color w:val="auto"/>
                <w:kern w:val="0"/>
                <w:sz w:val="24"/>
                <w:highlight w:val="none"/>
                <w:lang w:val="en-US" w:eastAsia="zh-CN"/>
              </w:rPr>
              <w:t>在日常管理中满足</w:t>
            </w:r>
            <w:r>
              <w:rPr>
                <w:rFonts w:hint="default" w:ascii="Times New Roman" w:hAnsi="Times New Roman" w:eastAsia="宋体" w:cs="Times New Roman"/>
                <w:color w:val="auto"/>
                <w:kern w:val="0"/>
                <w:sz w:val="24"/>
                <w:highlight w:val="none"/>
                <w:lang w:val="en-US" w:eastAsia="zh-CN"/>
              </w:rPr>
              <w:t>环境监测要求</w:t>
            </w:r>
            <w:r>
              <w:rPr>
                <w:rFonts w:hint="default" w:ascii="Times New Roman" w:hAnsi="Times New Roman" w:cs="Times New Roman"/>
                <w:color w:val="auto"/>
                <w:kern w:val="0"/>
                <w:sz w:val="24"/>
                <w:highlight w:val="none"/>
                <w:lang w:val="en-US" w:eastAsia="zh-CN"/>
              </w:rPr>
              <w:t>和</w:t>
            </w:r>
            <w:r>
              <w:rPr>
                <w:rFonts w:hint="default" w:ascii="Times New Roman" w:hAnsi="Times New Roman" w:eastAsia="宋体" w:cs="Times New Roman"/>
                <w:color w:val="auto"/>
                <w:kern w:val="0"/>
                <w:sz w:val="24"/>
                <w:highlight w:val="none"/>
                <w:lang w:val="en-US" w:eastAsia="zh-CN"/>
              </w:rPr>
              <w:t>环境应急要求</w:t>
            </w:r>
            <w:r>
              <w:rPr>
                <w:rFonts w:hint="default" w:ascii="Times New Roman" w:hAnsi="Times New Roman" w:cs="Times New Roman"/>
                <w:color w:val="auto"/>
                <w:kern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eastAsia" w:cs="Times New Roman"/>
                <w:color w:val="auto"/>
                <w:kern w:val="0"/>
                <w:sz w:val="24"/>
                <w:highlight w:val="none"/>
                <w:lang w:val="en-US" w:eastAsia="zh-CN"/>
              </w:rPr>
              <w:t>技改</w:t>
            </w:r>
            <w:r>
              <w:rPr>
                <w:rFonts w:hint="default" w:ascii="Times New Roman" w:hAnsi="Times New Roman" w:eastAsia="宋体" w:cs="Times New Roman"/>
                <w:color w:val="auto"/>
                <w:kern w:val="0"/>
                <w:sz w:val="24"/>
                <w:highlight w:val="none"/>
                <w:lang w:val="en-US" w:eastAsia="zh-CN"/>
              </w:rPr>
              <w:t>项目产生危险</w:t>
            </w:r>
            <w:r>
              <w:rPr>
                <w:rFonts w:hint="eastAsia" w:cs="Times New Roman"/>
                <w:color w:val="auto"/>
                <w:kern w:val="0"/>
                <w:sz w:val="24"/>
                <w:highlight w:val="none"/>
                <w:lang w:val="en-US" w:eastAsia="zh-CN"/>
              </w:rPr>
              <w:t>废物</w:t>
            </w:r>
            <w:r>
              <w:rPr>
                <w:rFonts w:hint="default" w:ascii="Times New Roman" w:hAnsi="Times New Roman" w:eastAsia="宋体" w:cs="Times New Roman"/>
                <w:color w:val="auto"/>
                <w:kern w:val="0"/>
                <w:sz w:val="24"/>
                <w:highlight w:val="none"/>
                <w:lang w:val="en-US" w:eastAsia="zh-CN"/>
              </w:rPr>
              <w:t>量0.</w:t>
            </w:r>
            <w:r>
              <w:rPr>
                <w:rFonts w:hint="eastAsia"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eastAsia="zh-CN"/>
              </w:rPr>
              <w:t>吨/年</w:t>
            </w:r>
            <w:r>
              <w:rPr>
                <w:rFonts w:hint="default" w:ascii="Times New Roman" w:hAnsi="Times New Roman" w:eastAsia="宋体" w:cs="Times New Roman"/>
                <w:color w:val="auto"/>
                <w:kern w:val="0"/>
                <w:sz w:val="24"/>
                <w:highlight w:val="none"/>
                <w:lang w:val="en-US" w:eastAsia="zh-CN"/>
              </w:rPr>
              <w:t>，现有工程产生危险</w:t>
            </w:r>
            <w:r>
              <w:rPr>
                <w:rFonts w:hint="eastAsia" w:cs="Times New Roman"/>
                <w:color w:val="auto"/>
                <w:kern w:val="0"/>
                <w:sz w:val="24"/>
                <w:highlight w:val="none"/>
                <w:lang w:val="en-US" w:eastAsia="zh-CN"/>
              </w:rPr>
              <w:t>废物</w:t>
            </w:r>
            <w:r>
              <w:rPr>
                <w:rFonts w:hint="default" w:ascii="Times New Roman" w:hAnsi="Times New Roman" w:eastAsia="宋体" w:cs="Times New Roman"/>
                <w:color w:val="auto"/>
                <w:kern w:val="0"/>
                <w:sz w:val="24"/>
                <w:highlight w:val="none"/>
                <w:lang w:val="en-US" w:eastAsia="zh-CN"/>
              </w:rPr>
              <w:t>量</w:t>
            </w:r>
            <w:r>
              <w:rPr>
                <w:rFonts w:hint="eastAsia" w:cs="Times New Roman"/>
                <w:color w:val="auto"/>
                <w:kern w:val="0"/>
                <w:sz w:val="24"/>
                <w:highlight w:val="none"/>
                <w:lang w:val="en-US" w:eastAsia="zh-CN"/>
              </w:rPr>
              <w:t>0.5</w:t>
            </w:r>
            <w:r>
              <w:rPr>
                <w:rFonts w:hint="default" w:ascii="Times New Roman" w:hAnsi="Times New Roman" w:eastAsia="宋体" w:cs="Times New Roman"/>
                <w:color w:val="auto"/>
                <w:kern w:val="0"/>
                <w:sz w:val="24"/>
                <w:highlight w:val="none"/>
                <w:lang w:eastAsia="zh-CN"/>
              </w:rPr>
              <w:t>吨/年，</w:t>
            </w:r>
            <w:r>
              <w:rPr>
                <w:rFonts w:hint="default" w:ascii="Times New Roman" w:hAnsi="Times New Roman" w:eastAsia="宋体" w:cs="Times New Roman"/>
                <w:color w:val="auto"/>
                <w:kern w:val="0"/>
                <w:sz w:val="24"/>
                <w:highlight w:val="none"/>
                <w:lang w:val="en-US" w:eastAsia="zh-CN"/>
              </w:rPr>
              <w:t>合计</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吨。所依托的福安市青拓环保建材有限公司</w:t>
            </w:r>
            <w:r>
              <w:rPr>
                <w:rFonts w:hint="default" w:ascii="Times New Roman" w:hAnsi="Times New Roman" w:eastAsia="宋体" w:cs="Times New Roman"/>
                <w:color w:val="auto"/>
                <w:kern w:val="0"/>
                <w:sz w:val="24"/>
                <w:highlight w:val="none"/>
                <w:lang w:eastAsia="zh-CN"/>
              </w:rPr>
              <w:t>设置</w:t>
            </w:r>
            <w:r>
              <w:rPr>
                <w:rFonts w:hint="default" w:ascii="Times New Roman" w:hAnsi="Times New Roman" w:eastAsia="宋体" w:cs="Times New Roman"/>
                <w:color w:val="auto"/>
                <w:kern w:val="0"/>
                <w:sz w:val="24"/>
                <w:highlight w:val="none"/>
                <w:lang w:val="en-US" w:eastAsia="zh-CN"/>
              </w:rPr>
              <w:t>的危险</w:t>
            </w:r>
            <w:r>
              <w:rPr>
                <w:rFonts w:hint="eastAsia" w:cs="Times New Roman"/>
                <w:color w:val="auto"/>
                <w:kern w:val="0"/>
                <w:sz w:val="24"/>
                <w:highlight w:val="none"/>
                <w:lang w:val="en-US" w:eastAsia="zh-CN"/>
              </w:rPr>
              <w:t>废物暂</w:t>
            </w:r>
            <w:r>
              <w:rPr>
                <w:rFonts w:hint="default" w:ascii="Times New Roman" w:hAnsi="Times New Roman" w:eastAsia="宋体" w:cs="Times New Roman"/>
                <w:color w:val="auto"/>
                <w:kern w:val="0"/>
                <w:sz w:val="24"/>
                <w:highlight w:val="none"/>
                <w:lang w:eastAsia="zh-CN"/>
              </w:rPr>
              <w:t>存间</w:t>
            </w:r>
            <w:r>
              <w:rPr>
                <w:rFonts w:hint="default" w:ascii="Times New Roman" w:hAnsi="Times New Roman" w:eastAsia="宋体" w:cs="Times New Roman"/>
                <w:color w:val="auto"/>
                <w:kern w:val="0"/>
                <w:sz w:val="24"/>
                <w:highlight w:val="none"/>
                <w:lang w:val="en-US" w:eastAsia="zh-CN"/>
              </w:rPr>
              <w:t>能满足贮存等要求。</w:t>
            </w:r>
            <w:r>
              <w:rPr>
                <w:rFonts w:hint="default" w:ascii="Times New Roman" w:hAnsi="Times New Roman" w:eastAsia="宋体" w:cs="Times New Roman"/>
                <w:color w:val="auto"/>
                <w:kern w:val="0"/>
                <w:sz w:val="24"/>
                <w:highlight w:val="none"/>
                <w:lang w:eastAsia="zh-CN"/>
              </w:rPr>
              <w:t>公司委托具有危险废物经营许可证资质的</w:t>
            </w:r>
            <w:r>
              <w:rPr>
                <w:rFonts w:hint="default" w:ascii="Times New Roman" w:hAnsi="Times New Roman" w:eastAsia="宋体" w:cs="Times New Roman"/>
                <w:color w:val="auto"/>
                <w:kern w:val="0"/>
                <w:sz w:val="24"/>
                <w:highlight w:val="none"/>
                <w:lang w:val="en-US" w:eastAsia="zh-CN"/>
              </w:rPr>
              <w:t>委托福建</w:t>
            </w:r>
            <w:r>
              <w:rPr>
                <w:rFonts w:hint="eastAsia" w:cs="Times New Roman"/>
                <w:color w:val="auto"/>
                <w:kern w:val="0"/>
                <w:sz w:val="24"/>
                <w:highlight w:val="none"/>
                <w:lang w:val="en-US" w:eastAsia="zh-CN"/>
              </w:rPr>
              <w:t>省三明辉润石化有限公司</w:t>
            </w:r>
            <w:r>
              <w:rPr>
                <w:rFonts w:hint="default" w:ascii="Times New Roman" w:hAnsi="Times New Roman" w:eastAsia="宋体" w:cs="Times New Roman"/>
                <w:color w:val="auto"/>
                <w:kern w:val="0"/>
                <w:sz w:val="24"/>
                <w:highlight w:val="none"/>
                <w:lang w:eastAsia="zh-CN"/>
              </w:rPr>
              <w:t>处置，危险废物的贮存和转运应严格按</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eastAsia="zh-CN"/>
              </w:rPr>
              <w:t>危险废物贮存污染控制标准》（GB 18597-2023）和《危险废物转移联单管理办法》要求执行。</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4.2.5地下水</w:t>
            </w:r>
            <w:bookmarkEnd w:id="24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sz w:val="24"/>
                <w:highlight w:val="none"/>
                <w:lang w:val="en-US" w:eastAsia="zh-CN"/>
              </w:rPr>
              <w:t>技改</w:t>
            </w:r>
            <w:r>
              <w:rPr>
                <w:rFonts w:hint="default" w:ascii="Times New Roman" w:hAnsi="Times New Roman" w:cs="Times New Roman"/>
                <w:color w:val="auto"/>
                <w:sz w:val="24"/>
                <w:highlight w:val="none"/>
                <w:lang w:val="en-US" w:eastAsia="zh-CN"/>
              </w:rPr>
              <w:t>项目在公司现有工程</w:t>
            </w:r>
            <w:r>
              <w:rPr>
                <w:rFonts w:hint="eastAsia" w:cs="Times New Roman"/>
                <w:color w:val="auto"/>
                <w:sz w:val="24"/>
                <w:highlight w:val="none"/>
                <w:lang w:val="en-US" w:eastAsia="zh-CN"/>
              </w:rPr>
              <w:t>矿渣堆棚</w:t>
            </w:r>
            <w:r>
              <w:rPr>
                <w:rFonts w:hint="default" w:ascii="Times New Roman" w:hAnsi="Times New Roman" w:cs="Times New Roman"/>
                <w:color w:val="auto"/>
                <w:sz w:val="24"/>
                <w:highlight w:val="none"/>
                <w:lang w:val="en-US" w:eastAsia="zh-CN"/>
              </w:rPr>
              <w:t>的西北侧分隔使用。</w:t>
            </w:r>
            <w:r>
              <w:rPr>
                <w:rFonts w:hint="eastAsia" w:cs="Times New Roman"/>
                <w:color w:val="auto"/>
                <w:sz w:val="24"/>
                <w:highlight w:val="none"/>
                <w:lang w:val="en-US" w:eastAsia="zh-CN"/>
              </w:rPr>
              <w:t>矿渣堆棚</w:t>
            </w:r>
            <w:r>
              <w:rPr>
                <w:rFonts w:hint="default" w:ascii="Times New Roman" w:hAnsi="Times New Roman" w:cs="Times New Roman"/>
                <w:color w:val="auto"/>
                <w:sz w:val="24"/>
                <w:highlight w:val="none"/>
                <w:lang w:val="en-US" w:eastAsia="zh-CN"/>
              </w:rPr>
              <w:t>已采用</w:t>
            </w:r>
            <w:r>
              <w:rPr>
                <w:rFonts w:hint="default" w:ascii="Times New Roman" w:hAnsi="Times New Roman" w:eastAsia="宋体" w:cs="Times New Roman"/>
                <w:color w:val="auto"/>
                <w:spacing w:val="-4"/>
                <w:sz w:val="24"/>
                <w:szCs w:val="24"/>
                <w:highlight w:val="none"/>
              </w:rPr>
              <w:t>水泥硬化，满足一般污染防治区要求。</w:t>
            </w:r>
            <w:r>
              <w:rPr>
                <w:rFonts w:hint="eastAsia" w:cs="Times New Roman"/>
                <w:color w:val="auto"/>
                <w:spacing w:val="-4"/>
                <w:sz w:val="24"/>
                <w:szCs w:val="24"/>
                <w:highlight w:val="none"/>
                <w:lang w:val="en-US" w:eastAsia="zh-CN"/>
              </w:rPr>
              <w:t>技改</w:t>
            </w:r>
            <w:r>
              <w:rPr>
                <w:rFonts w:hint="default" w:ascii="Times New Roman" w:hAnsi="Times New Roman" w:cs="Times New Roman"/>
                <w:color w:val="auto"/>
                <w:spacing w:val="-4"/>
                <w:sz w:val="24"/>
                <w:szCs w:val="24"/>
                <w:highlight w:val="none"/>
                <w:lang w:val="en-US" w:eastAsia="zh-CN"/>
              </w:rPr>
              <w:t>项目生产过程中不产生废水，</w:t>
            </w:r>
            <w:r>
              <w:rPr>
                <w:rFonts w:hint="default" w:ascii="Times New Roman" w:hAnsi="Times New Roman" w:eastAsia="宋体" w:cs="Times New Roman"/>
                <w:color w:val="auto"/>
                <w:kern w:val="0"/>
                <w:sz w:val="24"/>
                <w:highlight w:val="none"/>
                <w:lang w:val="en-US" w:eastAsia="zh-CN"/>
              </w:rPr>
              <w:t>对地下水的影响极小。</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241" w:name="_Toc16035"/>
            <w:r>
              <w:rPr>
                <w:rFonts w:hint="default" w:ascii="Times New Roman" w:hAnsi="Times New Roman" w:eastAsia="宋体" w:cs="Times New Roman"/>
                <w:b/>
                <w:bCs/>
                <w:color w:val="auto"/>
                <w:highlight w:val="none"/>
                <w:lang w:val="en-US" w:eastAsia="zh-CN"/>
              </w:rPr>
              <w:t>4.2.6土壤</w:t>
            </w:r>
            <w:bookmarkEnd w:id="24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eastAsia" w:cs="Times New Roman"/>
                <w:color w:val="auto"/>
                <w:sz w:val="24"/>
                <w:highlight w:val="none"/>
                <w:lang w:val="en-US" w:eastAsia="zh-CN"/>
              </w:rPr>
              <w:t>技改</w:t>
            </w:r>
            <w:r>
              <w:rPr>
                <w:rFonts w:hint="default" w:ascii="Times New Roman" w:hAnsi="Times New Roman" w:cs="Times New Roman"/>
                <w:color w:val="auto"/>
                <w:sz w:val="24"/>
                <w:highlight w:val="none"/>
                <w:lang w:val="en-US" w:eastAsia="zh-CN"/>
              </w:rPr>
              <w:t>项目没有新增用地，没有生产废水产生，</w:t>
            </w:r>
            <w:r>
              <w:rPr>
                <w:rFonts w:hint="default" w:ascii="Times New Roman" w:hAnsi="Times New Roman" w:cs="Times New Roman"/>
                <w:color w:val="auto"/>
                <w:kern w:val="2"/>
                <w:sz w:val="24"/>
                <w:szCs w:val="24"/>
                <w:highlight w:val="none"/>
                <w:lang w:val="en-US" w:eastAsia="zh-CN" w:bidi="ar-SA"/>
              </w:rPr>
              <w:t>车间地面</w:t>
            </w:r>
            <w:r>
              <w:rPr>
                <w:rFonts w:hint="default" w:ascii="Times New Roman" w:hAnsi="Times New Roman" w:eastAsia="宋体" w:cs="Times New Roman"/>
                <w:color w:val="auto"/>
                <w:kern w:val="2"/>
                <w:sz w:val="24"/>
                <w:szCs w:val="24"/>
                <w:highlight w:val="none"/>
                <w:lang w:val="en-US" w:eastAsia="zh-CN" w:bidi="ar-SA"/>
              </w:rPr>
              <w:t>实现</w:t>
            </w:r>
            <w:r>
              <w:rPr>
                <w:rFonts w:hint="default" w:ascii="Times New Roman" w:hAnsi="Times New Roman" w:cs="Times New Roman"/>
                <w:color w:val="auto"/>
                <w:kern w:val="2"/>
                <w:sz w:val="24"/>
                <w:szCs w:val="24"/>
                <w:highlight w:val="none"/>
                <w:lang w:val="en-US" w:eastAsia="zh-CN" w:bidi="ar-SA"/>
              </w:rPr>
              <w:t>硬化</w:t>
            </w:r>
            <w:r>
              <w:rPr>
                <w:rFonts w:hint="default" w:ascii="Times New Roman" w:hAnsi="Times New Roman" w:eastAsia="宋体" w:cs="Times New Roman"/>
                <w:color w:val="auto"/>
                <w:kern w:val="2"/>
                <w:sz w:val="24"/>
                <w:szCs w:val="24"/>
                <w:highlight w:val="none"/>
                <w:lang w:val="en-US" w:eastAsia="zh-CN" w:bidi="ar-SA"/>
              </w:rPr>
              <w:t>防渗。</w:t>
            </w:r>
            <w:r>
              <w:rPr>
                <w:rFonts w:hint="default" w:ascii="Times New Roman" w:hAnsi="Times New Roman" w:cs="Times New Roman"/>
                <w:color w:val="auto"/>
                <w:sz w:val="24"/>
                <w:highlight w:val="none"/>
                <w:lang w:val="en-US" w:eastAsia="zh-CN"/>
              </w:rPr>
              <w:t>生活废水不会发生</w:t>
            </w:r>
            <w:r>
              <w:rPr>
                <w:rFonts w:hint="default" w:ascii="Times New Roman" w:hAnsi="Times New Roman" w:eastAsia="宋体" w:cs="Times New Roman"/>
                <w:color w:val="auto"/>
                <w:kern w:val="2"/>
                <w:sz w:val="24"/>
                <w:szCs w:val="24"/>
                <w:highlight w:val="none"/>
                <w:lang w:val="en-US" w:eastAsia="zh-CN" w:bidi="ar-SA"/>
              </w:rPr>
              <w:t>对土壤环境的影响</w:t>
            </w:r>
            <w:r>
              <w:rPr>
                <w:rFonts w:hint="default" w:ascii="Times New Roman" w:hAnsi="Times New Roman" w:cs="Times New Roman"/>
                <w:color w:val="auto"/>
                <w:kern w:val="2"/>
                <w:sz w:val="24"/>
                <w:szCs w:val="24"/>
                <w:highlight w:val="none"/>
                <w:lang w:val="en-US" w:eastAsia="zh-CN" w:bidi="ar-SA"/>
              </w:rPr>
              <w:t>的</w:t>
            </w:r>
            <w:r>
              <w:rPr>
                <w:rFonts w:hint="default" w:ascii="Times New Roman" w:hAnsi="Times New Roman" w:eastAsia="宋体" w:cs="Times New Roman"/>
                <w:color w:val="auto"/>
                <w:kern w:val="2"/>
                <w:sz w:val="24"/>
                <w:szCs w:val="24"/>
                <w:highlight w:val="none"/>
                <w:lang w:val="en-US" w:eastAsia="zh-CN" w:bidi="ar-SA"/>
              </w:rPr>
              <w:t>地面漫流</w:t>
            </w:r>
            <w:r>
              <w:rPr>
                <w:rFonts w:hint="default" w:ascii="Times New Roman" w:hAnsi="Times New Roman" w:cs="Times New Roman"/>
                <w:color w:val="auto"/>
                <w:kern w:val="2"/>
                <w:sz w:val="24"/>
                <w:szCs w:val="24"/>
                <w:highlight w:val="none"/>
                <w:lang w:val="en-US" w:eastAsia="zh-CN" w:bidi="ar-SA"/>
              </w:rPr>
              <w:t>等，</w:t>
            </w:r>
            <w:r>
              <w:rPr>
                <w:rFonts w:hint="eastAsia" w:cs="Times New Roman"/>
                <w:color w:val="auto"/>
                <w:kern w:val="0"/>
                <w:sz w:val="24"/>
                <w:highlight w:val="none"/>
                <w:lang w:val="en-US" w:eastAsia="zh-CN"/>
              </w:rPr>
              <w:t>技改</w:t>
            </w:r>
            <w:r>
              <w:rPr>
                <w:rFonts w:hint="default" w:ascii="Times New Roman" w:hAnsi="Times New Roman"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lang w:val="en-US" w:eastAsia="zh-CN"/>
              </w:rPr>
              <w:t>对土壤环境的影响极小。</w:t>
            </w:r>
          </w:p>
          <w:p>
            <w:pPr>
              <w:pStyle w:val="5"/>
              <w:keepNext w:val="0"/>
              <w:keepLines w:val="0"/>
              <w:pageBreakBefore w:val="0"/>
              <w:widowControl w:val="0"/>
              <w:kinsoku/>
              <w:wordWrap/>
              <w:overflowPunct/>
              <w:topLinePunct w:val="0"/>
              <w:autoSpaceDE/>
              <w:autoSpaceDN/>
              <w:bidi w:val="0"/>
              <w:adjustRightInd w:val="0"/>
              <w:snapToGrid w:val="0"/>
              <w:spacing w:before="186" w:after="188" w:afterLines="50" w:afterAutospacing="0" w:line="240" w:lineRule="auto"/>
              <w:textAlignment w:val="auto"/>
              <w:rPr>
                <w:rFonts w:hint="default" w:ascii="Times New Roman" w:hAnsi="Times New Roman" w:eastAsia="宋体" w:cs="Times New Roman"/>
                <w:b/>
                <w:bCs/>
                <w:color w:val="auto"/>
                <w:highlight w:val="none"/>
                <w:lang w:val="en-US" w:eastAsia="zh-CN"/>
              </w:rPr>
            </w:pPr>
            <w:bookmarkStart w:id="242" w:name="_Toc30515"/>
            <w:bookmarkStart w:id="243" w:name="_Toc10001"/>
            <w:r>
              <w:rPr>
                <w:rFonts w:hint="default" w:ascii="Times New Roman" w:hAnsi="Times New Roman" w:eastAsia="宋体" w:cs="Times New Roman"/>
                <w:b/>
                <w:bCs/>
                <w:color w:val="auto"/>
                <w:highlight w:val="none"/>
                <w:lang w:val="en-US" w:eastAsia="zh-CN"/>
              </w:rPr>
              <w:t>4.2.7  环境风险</w:t>
            </w:r>
            <w:bookmarkEnd w:id="242"/>
            <w:bookmarkEnd w:id="243"/>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bookmarkStart w:id="244" w:name="_Toc17532"/>
            <w:bookmarkStart w:id="245" w:name="_Toc24508"/>
            <w:r>
              <w:rPr>
                <w:rFonts w:hint="default" w:ascii="Times New Roman" w:hAnsi="Times New Roman" w:eastAsia="宋体" w:cs="Times New Roman"/>
                <w:b/>
                <w:bCs/>
                <w:snapToGrid/>
                <w:color w:val="auto"/>
                <w:kern w:val="0"/>
                <w:sz w:val="24"/>
                <w:szCs w:val="24"/>
                <w:highlight w:val="none"/>
                <w:lang w:val="en-US" w:eastAsia="zh-CN" w:bidi="ar-SA"/>
              </w:rPr>
              <w:t xml:space="preserve">4.2.7.1  </w:t>
            </w:r>
            <w:bookmarkEnd w:id="244"/>
            <w:bookmarkEnd w:id="245"/>
            <w:r>
              <w:rPr>
                <w:rFonts w:hint="default" w:ascii="Times New Roman" w:hAnsi="Times New Roman" w:eastAsia="宋体" w:cs="Times New Roman"/>
                <w:b/>
                <w:bCs/>
                <w:snapToGrid/>
                <w:color w:val="auto"/>
                <w:kern w:val="0"/>
                <w:sz w:val="24"/>
                <w:szCs w:val="24"/>
                <w:highlight w:val="none"/>
                <w:lang w:val="en-US" w:eastAsia="zh-CN" w:bidi="ar-SA"/>
              </w:rPr>
              <w:t>环境风险因素识别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根据《建设项目环境风险评价技术导则》（HJ169-2018）的规定：风险识别范围包括生产设施风险识别和生产过程所涉及的物质风险识别。</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物质危险性识别，包括主要原辅材料、燃料、中间产品、副产品、最终产品、污染物、火灾和爆炸伴生/次生物等。生产系统危险性识别，包括主要生产装置、储运设施、公用工程和辅助生产设施，以及环境保护设施等。危险物质向环境转移的途径识别，包括分析危险物质特性及可能的环境风险类型，识别危险物质影响环境的途径，分析可能影响的环境敏感目标。</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（1）生产设施风险识别范围</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eastAsia" w:cs="Times New Roman"/>
                <w:snapToGrid/>
                <w:color w:val="auto"/>
                <w:kern w:val="2"/>
                <w:sz w:val="24"/>
                <w:szCs w:val="20"/>
                <w:highlight w:val="none"/>
                <w:lang w:val="en-US" w:eastAsia="zh-CN" w:bidi="ar-SA"/>
              </w:rPr>
              <w:t>技改</w:t>
            </w:r>
            <w:r>
              <w:rPr>
                <w:rFonts w:hint="default" w:ascii="Times New Roman" w:hAnsi="Times New Roman" w:cs="Times New Roman"/>
                <w:snapToGrid/>
                <w:color w:val="auto"/>
                <w:kern w:val="2"/>
                <w:sz w:val="24"/>
                <w:szCs w:val="20"/>
                <w:highlight w:val="none"/>
                <w:lang w:val="en-US" w:eastAsia="zh-CN" w:bidi="ar-SA"/>
              </w:rPr>
              <w:t>项目</w:t>
            </w:r>
            <w:r>
              <w:rPr>
                <w:rFonts w:hint="default" w:ascii="Times New Roman" w:hAnsi="Times New Roman" w:eastAsia="宋体" w:cs="Times New Roman"/>
                <w:snapToGrid/>
                <w:color w:val="auto"/>
                <w:kern w:val="2"/>
                <w:sz w:val="24"/>
                <w:szCs w:val="20"/>
                <w:highlight w:val="none"/>
                <w:lang w:val="en-US" w:eastAsia="zh-CN" w:bidi="ar-SA"/>
              </w:rPr>
              <w:t>生产设施风险识别范围包括以下单元：</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生产单元：钢渣综合利用生产线。</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储运单元：包括项目</w:t>
            </w:r>
            <w:r>
              <w:rPr>
                <w:rFonts w:hint="eastAsia" w:cs="Times New Roman"/>
                <w:snapToGrid/>
                <w:color w:val="auto"/>
                <w:kern w:val="2"/>
                <w:sz w:val="24"/>
                <w:szCs w:val="20"/>
                <w:highlight w:val="none"/>
                <w:lang w:val="en-US" w:eastAsia="zh-CN" w:bidi="ar-SA"/>
              </w:rPr>
              <w:t>堆场</w:t>
            </w:r>
            <w:r>
              <w:rPr>
                <w:rFonts w:hint="default" w:ascii="Times New Roman" w:hAnsi="Times New Roman" w:eastAsia="宋体" w:cs="Times New Roman"/>
                <w:snapToGrid/>
                <w:color w:val="auto"/>
                <w:kern w:val="2"/>
                <w:sz w:val="24"/>
                <w:szCs w:val="20"/>
                <w:highlight w:val="none"/>
                <w:lang w:val="en-US" w:eastAsia="zh-CN" w:bidi="ar-SA"/>
              </w:rPr>
              <w:t>以及原料和成品的输送系统。</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公用工程单元：包括项目供水、供电、供气、消防系统等。</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环保单元：包括废气处理装置。</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生产辅助单元：包括各种机械、设备、仪表维修等设施。</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（2）物质风险识别范围</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依据《国家危险废物名录（2021年版）》和《危险化学品名录》（2015版），对</w:t>
            </w:r>
            <w:r>
              <w:rPr>
                <w:rFonts w:hint="eastAsia" w:ascii="Times New Roman" w:hAnsi="Times New Roman" w:eastAsia="宋体" w:cs="Times New Roman"/>
                <w:snapToGrid/>
                <w:color w:val="auto"/>
                <w:kern w:val="2"/>
                <w:sz w:val="24"/>
                <w:szCs w:val="20"/>
                <w:highlight w:val="none"/>
                <w:lang w:val="en-US" w:eastAsia="zh-CN" w:bidi="ar-SA"/>
              </w:rPr>
              <w:t>技改</w:t>
            </w:r>
            <w:r>
              <w:rPr>
                <w:rFonts w:hint="default" w:ascii="Times New Roman" w:hAnsi="Times New Roman" w:eastAsia="宋体" w:cs="Times New Roman"/>
                <w:snapToGrid/>
                <w:color w:val="auto"/>
                <w:kern w:val="2"/>
                <w:sz w:val="24"/>
                <w:szCs w:val="20"/>
                <w:highlight w:val="none"/>
                <w:lang w:val="en-US" w:eastAsia="zh-CN" w:bidi="ar-SA"/>
              </w:rPr>
              <w:t>项目原辅材料、产品中危险化学品进行判别。</w:t>
            </w:r>
            <w:r>
              <w:rPr>
                <w:rFonts w:hint="eastAsia" w:ascii="Times New Roman" w:hAnsi="Times New Roman" w:eastAsia="宋体" w:cs="Times New Roman"/>
                <w:snapToGrid/>
                <w:color w:val="auto"/>
                <w:kern w:val="2"/>
                <w:sz w:val="24"/>
                <w:szCs w:val="20"/>
                <w:highlight w:val="none"/>
                <w:lang w:val="en-US" w:eastAsia="zh-CN" w:bidi="ar-SA"/>
              </w:rPr>
              <w:t>技改</w:t>
            </w:r>
            <w:r>
              <w:rPr>
                <w:rFonts w:hint="default" w:ascii="Times New Roman" w:hAnsi="Times New Roman" w:eastAsia="宋体" w:cs="Times New Roman"/>
                <w:snapToGrid/>
                <w:color w:val="auto"/>
                <w:kern w:val="2"/>
                <w:sz w:val="24"/>
                <w:szCs w:val="20"/>
                <w:highlight w:val="none"/>
                <w:lang w:val="en-US" w:eastAsia="zh-CN" w:bidi="ar-SA"/>
              </w:rPr>
              <w:t>项目原辅材料主要是</w:t>
            </w:r>
            <w:r>
              <w:rPr>
                <w:rFonts w:hint="eastAsia" w:cs="Times New Roman"/>
                <w:snapToGrid/>
                <w:color w:val="auto"/>
                <w:kern w:val="2"/>
                <w:sz w:val="24"/>
                <w:szCs w:val="20"/>
                <w:highlight w:val="none"/>
                <w:lang w:val="en-US" w:eastAsia="zh-CN" w:bidi="ar-SA"/>
              </w:rPr>
              <w:t>钢渣</w:t>
            </w:r>
            <w:r>
              <w:rPr>
                <w:rFonts w:hint="default" w:ascii="Times New Roman" w:hAnsi="Times New Roman" w:eastAsia="宋体" w:cs="Times New Roman"/>
                <w:snapToGrid/>
                <w:color w:val="auto"/>
                <w:kern w:val="2"/>
                <w:sz w:val="24"/>
                <w:szCs w:val="20"/>
                <w:highlight w:val="none"/>
                <w:lang w:val="en-US" w:eastAsia="zh-CN" w:bidi="ar-SA"/>
              </w:rPr>
              <w:t>；产品是</w:t>
            </w:r>
            <w:r>
              <w:rPr>
                <w:rFonts w:hint="eastAsia" w:ascii="Times New Roman" w:hAnsi="Times New Roman" w:eastAsia="宋体" w:cs="Times New Roman"/>
                <w:snapToGrid/>
                <w:color w:val="auto"/>
                <w:kern w:val="2"/>
                <w:sz w:val="24"/>
                <w:szCs w:val="20"/>
                <w:highlight w:val="none"/>
                <w:lang w:val="en-US" w:eastAsia="zh-CN" w:bidi="ar-SA"/>
              </w:rPr>
              <w:t>路基垫层和钢渣细粉；危险废物主要为废机油</w:t>
            </w:r>
            <w:r>
              <w:rPr>
                <w:rFonts w:hint="default" w:ascii="Times New Roman" w:hAnsi="Times New Roman" w:eastAsia="宋体" w:cs="Times New Roman"/>
                <w:snapToGrid/>
                <w:color w:val="auto"/>
                <w:kern w:val="2"/>
                <w:sz w:val="24"/>
                <w:szCs w:val="20"/>
                <w:highlight w:val="none"/>
                <w:lang w:val="en-US" w:eastAsia="zh-CN" w:bidi="ar-SA"/>
              </w:rPr>
              <w:t>。</w:t>
            </w:r>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4.2.7.2危险物质数量与临界量比值（Q）</w:t>
            </w:r>
          </w:p>
          <w:p>
            <w:pPr>
              <w:autoSpaceDE w:val="0"/>
              <w:autoSpaceDN w:val="0"/>
              <w:adjustRightInd w:val="0"/>
              <w:snapToGrid/>
              <w:spacing w:line="240" w:lineRule="auto"/>
              <w:ind w:leftChars="0" w:righ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依据《建设项目环境风险评价技术导则》（HJ169-2018）附录B中对应临界量的比值为Q。在不同厂区的同一种物质，按其在厂界内的最大存在总量计算。建设项目主要的危险物质</w:t>
            </w:r>
            <w:r>
              <w:rPr>
                <w:rFonts w:hint="default" w:ascii="Times New Roman" w:hAnsi="Times New Roman" w:cs="Times New Roman"/>
                <w:color w:val="auto"/>
                <w:sz w:val="24"/>
                <w:lang w:eastAsia="zh-CN"/>
              </w:rPr>
              <w:t>储存量与临</w:t>
            </w:r>
            <w:r>
              <w:rPr>
                <w:rFonts w:hint="default" w:ascii="Times New Roman" w:hAnsi="Times New Roman" w:eastAsia="宋体" w:cs="Times New Roman"/>
                <w:color w:val="auto"/>
                <w:sz w:val="24"/>
                <w:lang w:eastAsia="zh-CN"/>
              </w:rPr>
              <w:t>界量</w:t>
            </w:r>
            <w:r>
              <w:rPr>
                <w:rFonts w:hint="default" w:ascii="Times New Roman" w:hAnsi="Times New Roman" w:eastAsia="宋体" w:cs="Times New Roman"/>
                <w:color w:val="auto"/>
                <w:sz w:val="24"/>
              </w:rPr>
              <w:t>见</w:t>
            </w:r>
            <w:r>
              <w:rPr>
                <w:rFonts w:hint="eastAsia" w:ascii="Times New Roman" w:hAnsi="Times New Roman" w:eastAsia="宋体" w:cs="Times New Roman"/>
                <w:color w:val="auto"/>
                <w:sz w:val="24"/>
                <w:lang w:eastAsia="zh-CN"/>
              </w:rPr>
              <w:t>表</w:t>
            </w:r>
            <w:r>
              <w:rPr>
                <w:rFonts w:hint="eastAsia" w:ascii="Times New Roman" w:hAnsi="Times New Roman" w:eastAsia="宋体" w:cs="Times New Roman"/>
                <w:color w:val="auto"/>
                <w:sz w:val="24"/>
                <w:lang w:val="en-US" w:eastAsia="zh-CN"/>
              </w:rPr>
              <w:t>4.2</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bookmarkStart w:id="246" w:name="_Toc30938"/>
            <w:bookmarkStart w:id="247" w:name="_Toc4051"/>
            <w:bookmarkStart w:id="248" w:name="_Toc32260"/>
            <w:r>
              <w:rPr>
                <w:rFonts w:hint="eastAsia" w:ascii="Times New Roman" w:hAnsi="Times New Roman" w:eastAsia="宋体" w:cs="Times New Roman"/>
                <w:b/>
                <w:bCs/>
                <w:color w:val="auto"/>
                <w:sz w:val="24"/>
                <w:szCs w:val="24"/>
                <w:lang w:val="en-US" w:eastAsia="zh-CN"/>
              </w:rPr>
              <w:t>表4.2</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 xml:space="preserve">  环境风险物质数量与临界量的比值</w:t>
            </w:r>
            <w:bookmarkEnd w:id="246"/>
            <w:bookmarkEnd w:id="247"/>
            <w:bookmarkEnd w:id="248"/>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210"/>
              <w:gridCol w:w="1114"/>
              <w:gridCol w:w="1654"/>
              <w:gridCol w:w="1728"/>
              <w:gridCol w:w="1259"/>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68"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物质名称</w:t>
                  </w:r>
                </w:p>
              </w:tc>
              <w:tc>
                <w:tcPr>
                  <w:tcW w:w="61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CAS号</w:t>
                  </w:r>
                </w:p>
              </w:tc>
              <w:tc>
                <w:tcPr>
                  <w:tcW w:w="913"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设施储量</w:t>
                  </w:r>
                </w:p>
              </w:tc>
              <w:tc>
                <w:tcPr>
                  <w:tcW w:w="954"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最大存在总量q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694"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临界量</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Q</w:t>
                  </w:r>
                  <w:r>
                    <w:rPr>
                      <w:rFonts w:hint="default" w:ascii="Times New Roman" w:hAnsi="Times New Roman" w:cs="Times New Roman"/>
                      <w:color w:val="auto"/>
                      <w:sz w:val="21"/>
                      <w:szCs w:val="21"/>
                      <w:vertAlign w:val="subscript"/>
                    </w:rPr>
                    <w:t>n</w:t>
                  </w:r>
                  <w:r>
                    <w:rPr>
                      <w:rFonts w:hint="default" w:ascii="Times New Roman" w:hAnsi="Times New Roman" w:cs="Times New Roman"/>
                      <w:color w:val="auto"/>
                      <w:sz w:val="21"/>
                      <w:szCs w:val="21"/>
                    </w:rPr>
                    <w:t>/t</w:t>
                  </w:r>
                </w:p>
              </w:tc>
              <w:tc>
                <w:tcPr>
                  <w:tcW w:w="85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该种危险物质</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66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废矿物油</w:t>
                  </w:r>
                </w:p>
              </w:tc>
              <w:tc>
                <w:tcPr>
                  <w:tcW w:w="61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913"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highlight w:val="none"/>
                      <w:lang w:val="en-US" w:eastAsia="zh-CN" w:bidi="ar-SA"/>
                    </w:rPr>
                    <w:t>危废暂存间</w:t>
                  </w:r>
                </w:p>
              </w:tc>
              <w:tc>
                <w:tcPr>
                  <w:tcW w:w="954"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694"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85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8"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3845" w:type="pct"/>
                  <w:gridSpan w:val="5"/>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项目Q值Σ</w:t>
                  </w:r>
                </w:p>
              </w:tc>
              <w:tc>
                <w:tcPr>
                  <w:tcW w:w="855" w:type="pc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0.04</w:t>
                  </w:r>
                </w:p>
              </w:tc>
            </w:tr>
          </w:tbl>
          <w:p>
            <w:pPr>
              <w:keepNext w:val="0"/>
              <w:keepLines w:val="0"/>
              <w:pageBreakBefore w:val="0"/>
              <w:widowControl w:val="0"/>
              <w:kinsoku/>
              <w:wordWrap/>
              <w:overflowPunct/>
              <w:topLinePunct w:val="0"/>
              <w:autoSpaceDE/>
              <w:autoSpaceDN/>
              <w:bidi w:val="0"/>
              <w:adjustRightInd w:val="0"/>
              <w:snapToGrid/>
              <w:spacing w:line="240" w:lineRule="exact"/>
              <w:ind w:right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备注：废矿物油临界量取风险导则附录“表B</w:t>
            </w:r>
            <w:r>
              <w:rPr>
                <w:rFonts w:hint="default" w:cs="Times New Roman"/>
                <w:color w:val="auto"/>
                <w:sz w:val="21"/>
                <w:szCs w:val="21"/>
                <w:lang w:val="en-US" w:eastAsia="zh-CN"/>
              </w:rPr>
              <w:t>.2</w:t>
            </w:r>
            <w:r>
              <w:rPr>
                <w:rFonts w:hint="eastAsia" w:cs="Times New Roman"/>
                <w:color w:val="auto"/>
                <w:sz w:val="21"/>
                <w:szCs w:val="21"/>
                <w:lang w:val="en-US" w:eastAsia="zh-CN"/>
              </w:rPr>
              <w:t xml:space="preserve"> 其他危险物质临界量推荐值”中的“健康危险急性毒性物质（类别2、类别3）”，临界量为50</w:t>
            </w:r>
            <w:r>
              <w:rPr>
                <w:rFonts w:hint="default" w:cs="Times New Roman"/>
                <w:color w:val="auto"/>
                <w:sz w:val="21"/>
                <w:szCs w:val="21"/>
                <w:lang w:val="en-US" w:eastAsia="zh-CN"/>
              </w:rPr>
              <w:t>t</w:t>
            </w:r>
            <w:r>
              <w:rPr>
                <w:rFonts w:hint="eastAsia" w:cs="Times New Roman"/>
                <w:color w:val="auto"/>
                <w:sz w:val="21"/>
                <w:szCs w:val="21"/>
                <w:lang w:val="en-US" w:eastAsia="zh-CN"/>
              </w:rPr>
              <w:t>。</w:t>
            </w:r>
          </w:p>
          <w:p>
            <w:pPr>
              <w:pStyle w:val="10"/>
              <w:keepNext w:val="0"/>
              <w:keepLines w:val="0"/>
              <w:pageBreakBefore w:val="0"/>
              <w:widowControl w:val="0"/>
              <w:kinsoku/>
              <w:wordWrap/>
              <w:overflowPunct/>
              <w:topLinePunct w:val="0"/>
              <w:autoSpaceDE/>
              <w:autoSpaceDN/>
              <w:bidi w:val="0"/>
              <w:adjustRightInd w:val="0"/>
              <w:snapToGrid w:val="0"/>
              <w:spacing w:before="182" w:beforeLines="50" w:line="360" w:lineRule="auto"/>
              <w:ind w:firstLine="567"/>
              <w:textAlignment w:val="auto"/>
              <w:rPr>
                <w:rFonts w:hint="default" w:ascii="Times New Roman" w:hAnsi="Times New Roman" w:cs="Times New Roman"/>
                <w:color w:val="auto"/>
                <w:highlight w:val="none"/>
              </w:rPr>
            </w:pPr>
            <w:r>
              <w:rPr>
                <w:rFonts w:hint="default" w:ascii="Times New Roman" w:hAnsi="Times New Roman" w:eastAsia="宋体" w:cs="Times New Roman"/>
                <w:snapToGrid/>
                <w:color w:val="auto"/>
                <w:kern w:val="2"/>
                <w:sz w:val="24"/>
                <w:szCs w:val="20"/>
                <w:highlight w:val="none"/>
                <w:lang w:val="en-US" w:eastAsia="zh-CN" w:bidi="ar-SA"/>
              </w:rPr>
              <w:t>根据《建设项目环境风险评价技术导则》（HJ/T 169-2018），危险物质数量与临界量比值Q＜1时，该项目环境风险潜势为Ⅰ。</w:t>
            </w:r>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4.2.7.3风险评价等级</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eastAsia" w:cs="Times New Roman"/>
                <w:snapToGrid/>
                <w:color w:val="auto"/>
                <w:kern w:val="2"/>
                <w:sz w:val="24"/>
                <w:szCs w:val="20"/>
                <w:highlight w:val="none"/>
                <w:lang w:val="en-US" w:eastAsia="zh-CN" w:bidi="ar-SA"/>
              </w:rPr>
              <w:t>技改</w:t>
            </w:r>
            <w:r>
              <w:rPr>
                <w:rFonts w:hint="default" w:ascii="Times New Roman" w:hAnsi="Times New Roman" w:cs="Times New Roman"/>
                <w:snapToGrid/>
                <w:color w:val="auto"/>
                <w:kern w:val="2"/>
                <w:sz w:val="24"/>
                <w:szCs w:val="20"/>
                <w:highlight w:val="none"/>
                <w:lang w:val="en-US" w:eastAsia="zh-CN" w:bidi="ar-SA"/>
              </w:rPr>
              <w:t>项目</w:t>
            </w:r>
            <w:r>
              <w:rPr>
                <w:rFonts w:hint="default" w:ascii="Times New Roman" w:hAnsi="Times New Roman" w:eastAsia="宋体" w:cs="Times New Roman"/>
                <w:snapToGrid/>
                <w:color w:val="auto"/>
                <w:kern w:val="2"/>
                <w:sz w:val="24"/>
                <w:szCs w:val="20"/>
                <w:highlight w:val="none"/>
                <w:lang w:val="en-US" w:eastAsia="zh-CN" w:bidi="ar-SA"/>
              </w:rPr>
              <w:t>环境风险潜势为Ⅰ，根据《建设项目环境风险评价技术导则》（HJ/T 169-2018）评价工作等级划分表，</w:t>
            </w:r>
            <w:r>
              <w:rPr>
                <w:rFonts w:hint="eastAsia" w:cs="Times New Roman"/>
                <w:snapToGrid/>
                <w:color w:val="auto"/>
                <w:kern w:val="2"/>
                <w:sz w:val="24"/>
                <w:szCs w:val="20"/>
                <w:highlight w:val="none"/>
                <w:lang w:val="en-US" w:eastAsia="zh-CN" w:bidi="ar-SA"/>
              </w:rPr>
              <w:t>技改</w:t>
            </w:r>
            <w:r>
              <w:rPr>
                <w:rFonts w:hint="default" w:ascii="Times New Roman" w:hAnsi="Times New Roman" w:cs="Times New Roman"/>
                <w:snapToGrid/>
                <w:color w:val="auto"/>
                <w:kern w:val="2"/>
                <w:sz w:val="24"/>
                <w:szCs w:val="20"/>
                <w:highlight w:val="none"/>
                <w:lang w:val="en-US" w:eastAsia="zh-CN" w:bidi="ar-SA"/>
              </w:rPr>
              <w:t>项目</w:t>
            </w:r>
            <w:r>
              <w:rPr>
                <w:rFonts w:hint="default" w:ascii="Times New Roman" w:hAnsi="Times New Roman" w:eastAsia="宋体" w:cs="Times New Roman"/>
                <w:snapToGrid/>
                <w:color w:val="auto"/>
                <w:kern w:val="2"/>
                <w:sz w:val="24"/>
                <w:szCs w:val="20"/>
                <w:highlight w:val="none"/>
                <w:lang w:val="en-US" w:eastAsia="zh-CN" w:bidi="ar-SA"/>
              </w:rPr>
              <w:t>环境风险评价工作等级仅参照风险导则附录A进行简单分析。</w:t>
            </w:r>
          </w:p>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环境风险评价工作等级划分</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1823"/>
              <w:gridCol w:w="1374"/>
              <w:gridCol w:w="1397"/>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2"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环境风险潜势</w:t>
                  </w:r>
                </w:p>
              </w:tc>
              <w:tc>
                <w:tcPr>
                  <w:tcW w:w="1006"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Ⅳ、Ⅳ</w:t>
                  </w:r>
                </w:p>
              </w:tc>
              <w:tc>
                <w:tcPr>
                  <w:tcW w:w="758"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Ⅲ</w:t>
                  </w:r>
                </w:p>
              </w:tc>
              <w:tc>
                <w:tcPr>
                  <w:tcW w:w="771"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Ⅱ</w:t>
                  </w:r>
                </w:p>
              </w:tc>
              <w:tc>
                <w:tcPr>
                  <w:tcW w:w="1141"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2"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评价工作等级</w:t>
                  </w:r>
                </w:p>
              </w:tc>
              <w:tc>
                <w:tcPr>
                  <w:tcW w:w="1006"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w:t>
                  </w:r>
                </w:p>
              </w:tc>
              <w:tc>
                <w:tcPr>
                  <w:tcW w:w="758"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w:t>
                  </w:r>
                </w:p>
              </w:tc>
              <w:tc>
                <w:tcPr>
                  <w:tcW w:w="771"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w:t>
                  </w:r>
                </w:p>
              </w:tc>
              <w:tc>
                <w:tcPr>
                  <w:tcW w:w="1141" w:type="pct"/>
                  <w:tcBorders>
                    <w:tl2br w:val="nil"/>
                    <w:tr2bl w:val="nil"/>
                  </w:tcBorders>
                  <w:noWrap w:val="0"/>
                  <w:vAlign w:val="center"/>
                </w:tcPr>
                <w:p>
                  <w:pPr>
                    <w:pStyle w:val="45"/>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简单分析</w:t>
                  </w:r>
                </w:p>
              </w:tc>
            </w:tr>
          </w:tbl>
          <w:p>
            <w:pPr>
              <w:pStyle w:val="10"/>
              <w:keepNext w:val="0"/>
              <w:keepLines w:val="0"/>
              <w:pageBreakBefore w:val="0"/>
              <w:widowControl w:val="0"/>
              <w:kinsoku/>
              <w:wordWrap/>
              <w:overflowPunct/>
              <w:topLinePunct w:val="0"/>
              <w:autoSpaceDE/>
              <w:autoSpaceDN/>
              <w:bidi w:val="0"/>
              <w:adjustRightInd w:val="0"/>
              <w:snapToGrid w:val="0"/>
              <w:spacing w:before="182" w:beforeLines="50" w:line="360" w:lineRule="auto"/>
              <w:ind w:firstLine="567"/>
              <w:textAlignment w:val="auto"/>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根据《建设项目环境风险评价技术导则》（HJ 941-2018），项目环境风险评价属于风险潜势为Ⅰ，可开展简单分析。</w:t>
            </w:r>
          </w:p>
          <w:p>
            <w:pPr>
              <w:pStyle w:val="45"/>
              <w:keepNext w:val="0"/>
              <w:keepLines w:val="0"/>
              <w:pageBreakBefore w:val="0"/>
              <w:widowControl w:val="0"/>
              <w:kinsoku/>
              <w:wordWrap/>
              <w:overflowPunct/>
              <w:topLinePunct w:val="0"/>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4.2.7.4环境风险简单分析</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（1）评价依据</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项目环境风险潜势为Ⅰ。项目环境风险评价工作等级仅参照风险导则附录A进行简单分析。</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（2）环境敏感目标概况</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项目周边环境敏感目标概况见表3.2-1。</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（3）环境风险识别</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根据《建设项目环境风险评价技术导则》（HJ169-2018）附录 B 判断，本项目不涉及危险物质，其主要风险为产生的粉尘，对周边大气的环境风险。</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w:t>
            </w:r>
            <w:r>
              <w:rPr>
                <w:rFonts w:hint="eastAsia" w:ascii="Times New Roman" w:hAnsi="Times New Roman" w:eastAsia="宋体" w:cs="Times New Roman"/>
                <w:snapToGrid/>
                <w:color w:val="auto"/>
                <w:kern w:val="2"/>
                <w:sz w:val="24"/>
                <w:szCs w:val="20"/>
                <w:highlight w:val="none"/>
                <w:lang w:val="en-US" w:eastAsia="zh-CN" w:bidi="ar-SA"/>
              </w:rPr>
              <w:t>4</w:t>
            </w:r>
            <w:r>
              <w:rPr>
                <w:rFonts w:hint="default" w:ascii="Times New Roman" w:hAnsi="Times New Roman" w:eastAsia="宋体" w:cs="Times New Roman"/>
                <w:snapToGrid/>
                <w:color w:val="auto"/>
                <w:kern w:val="2"/>
                <w:sz w:val="24"/>
                <w:szCs w:val="20"/>
                <w:highlight w:val="none"/>
                <w:lang w:val="en-US" w:eastAsia="zh-CN" w:bidi="ar-SA"/>
              </w:rPr>
              <w:t>）环境风险分析</w:t>
            </w:r>
          </w:p>
          <w:p>
            <w:pPr>
              <w:keepNext w:val="0"/>
              <w:keepLines w:val="0"/>
              <w:pageBreakBefore w:val="0"/>
              <w:widowControl/>
              <w:kinsoku/>
              <w:wordWrap/>
              <w:overflowPunct/>
              <w:topLinePunct w:val="0"/>
              <w:autoSpaceDE/>
              <w:autoSpaceDN/>
              <w:bidi w:val="0"/>
              <w:adjustRightInd w:val="0"/>
              <w:snapToGrid w:val="0"/>
              <w:spacing w:line="360" w:lineRule="auto"/>
              <w:ind w:leftChars="0" w:rightChars="0" w:firstLine="482"/>
              <w:textAlignment w:val="auto"/>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 xml:space="preserve"> ①大气环境风险影响分析</w:t>
            </w:r>
          </w:p>
          <w:p>
            <w:pPr>
              <w:keepNext w:val="0"/>
              <w:keepLines w:val="0"/>
              <w:pageBreakBefore w:val="0"/>
              <w:widowControl/>
              <w:kinsoku/>
              <w:wordWrap/>
              <w:overflowPunct/>
              <w:topLinePunct w:val="0"/>
              <w:autoSpaceDE/>
              <w:autoSpaceDN/>
              <w:bidi w:val="0"/>
              <w:adjustRightInd w:val="0"/>
              <w:snapToGrid w:val="0"/>
              <w:spacing w:line="360" w:lineRule="auto"/>
              <w:ind w:leftChars="0" w:rightChars="0" w:firstLine="482"/>
              <w:textAlignment w:val="auto"/>
              <w:rPr>
                <w:rFonts w:hint="default" w:ascii="Times New Roman" w:hAnsi="Times New Roman" w:eastAsia="宋体" w:cs="Times New Roman"/>
                <w:snapToGrid/>
                <w:color w:val="auto"/>
                <w:kern w:val="2"/>
                <w:sz w:val="24"/>
                <w:szCs w:val="20"/>
                <w:highlight w:val="none"/>
                <w:lang w:val="en-US" w:eastAsia="zh-CN" w:bidi="ar-SA"/>
              </w:rPr>
            </w:pPr>
            <w:bookmarkStart w:id="249" w:name="_Toc322771748"/>
            <w:bookmarkStart w:id="250" w:name="_Toc322771879"/>
            <w:bookmarkStart w:id="251" w:name="_Toc322771840"/>
            <w:r>
              <w:rPr>
                <w:rFonts w:hint="eastAsia" w:ascii="Times New Roman" w:hAnsi="Times New Roman" w:eastAsia="宋体" w:cs="Times New Roman"/>
                <w:snapToGrid/>
                <w:color w:val="auto"/>
                <w:kern w:val="2"/>
                <w:sz w:val="24"/>
                <w:szCs w:val="20"/>
                <w:highlight w:val="none"/>
                <w:lang w:val="en-US" w:eastAsia="zh-CN" w:bidi="ar-SA"/>
              </w:rPr>
              <w:t>技改项目</w:t>
            </w:r>
            <w:r>
              <w:rPr>
                <w:rFonts w:hint="default" w:ascii="Times New Roman" w:hAnsi="Times New Roman" w:eastAsia="宋体" w:cs="Times New Roman"/>
                <w:snapToGrid/>
                <w:color w:val="auto"/>
                <w:kern w:val="2"/>
                <w:sz w:val="24"/>
                <w:szCs w:val="20"/>
                <w:highlight w:val="none"/>
                <w:lang w:val="en-US" w:eastAsia="zh-CN" w:bidi="ar-SA"/>
              </w:rPr>
              <w:t>产生的粉尘经布袋除尘器处理后，由新建1</w:t>
            </w:r>
            <w:r>
              <w:rPr>
                <w:rFonts w:hint="eastAsia" w:ascii="Times New Roman" w:hAnsi="Times New Roman" w:eastAsia="宋体" w:cs="Times New Roman"/>
                <w:snapToGrid/>
                <w:color w:val="auto"/>
                <w:kern w:val="2"/>
                <w:sz w:val="24"/>
                <w:szCs w:val="20"/>
                <w:highlight w:val="none"/>
                <w:lang w:val="en-US" w:eastAsia="zh-CN" w:bidi="ar-SA"/>
              </w:rPr>
              <w:t>根</w:t>
            </w:r>
            <w:r>
              <w:rPr>
                <w:rFonts w:hint="default" w:ascii="Times New Roman" w:hAnsi="Times New Roman" w:eastAsia="宋体" w:cs="Times New Roman"/>
                <w:snapToGrid/>
                <w:color w:val="auto"/>
                <w:kern w:val="2"/>
                <w:sz w:val="24"/>
                <w:szCs w:val="20"/>
                <w:highlight w:val="none"/>
                <w:lang w:val="en-US" w:eastAsia="zh-CN" w:bidi="ar-SA"/>
              </w:rPr>
              <w:t>15米高排气筒达标排放，对周边大气环境影响很小；在发生泄漏或使用消防水灭火的同时，这些物料和混有此类物质的消防废水可能通过厂区雨水管道排入附近沟渠与河流，对纳污河流水质造成一定的污染影响。</w:t>
            </w:r>
            <w:r>
              <w:rPr>
                <w:rFonts w:hint="eastAsia" w:ascii="Times New Roman" w:hAnsi="Times New Roman" w:eastAsia="宋体" w:cs="Times New Roman"/>
                <w:snapToGrid/>
                <w:color w:val="auto"/>
                <w:kern w:val="2"/>
                <w:sz w:val="24"/>
                <w:szCs w:val="20"/>
                <w:highlight w:val="none"/>
                <w:lang w:val="en-US" w:eastAsia="zh-CN" w:bidi="ar-SA"/>
              </w:rPr>
              <w:t>在生产车间</w:t>
            </w:r>
            <w:r>
              <w:rPr>
                <w:rFonts w:hint="default" w:ascii="Times New Roman" w:hAnsi="Times New Roman" w:eastAsia="宋体" w:cs="Times New Roman"/>
                <w:snapToGrid/>
                <w:color w:val="auto"/>
                <w:kern w:val="2"/>
                <w:sz w:val="24"/>
                <w:szCs w:val="20"/>
                <w:highlight w:val="none"/>
                <w:lang w:val="zh-CN" w:eastAsia="zh-CN" w:bidi="ar-SA"/>
              </w:rPr>
              <w:t>置放充足的灭火器、消防器材，一旦发生火灾，应急人员立即用灭火器进行灭火</w:t>
            </w:r>
            <w:r>
              <w:rPr>
                <w:rFonts w:hint="eastAsia" w:ascii="Times New Roman" w:hAnsi="Times New Roman" w:eastAsia="宋体" w:cs="Times New Roman"/>
                <w:snapToGrid/>
                <w:color w:val="auto"/>
                <w:kern w:val="2"/>
                <w:sz w:val="24"/>
                <w:szCs w:val="20"/>
                <w:highlight w:val="none"/>
                <w:lang w:val="en-US" w:eastAsia="zh-CN" w:bidi="ar-SA"/>
              </w:rPr>
              <w:t>并</w:t>
            </w:r>
            <w:r>
              <w:rPr>
                <w:rFonts w:hint="default" w:ascii="Times New Roman" w:hAnsi="Times New Roman" w:eastAsia="宋体" w:cs="Times New Roman"/>
                <w:snapToGrid/>
                <w:color w:val="auto"/>
                <w:kern w:val="2"/>
                <w:sz w:val="24"/>
                <w:szCs w:val="20"/>
                <w:highlight w:val="none"/>
                <w:lang w:val="zh-CN" w:eastAsia="zh-CN" w:bidi="ar-SA"/>
              </w:rPr>
              <w:t>立即疏散非应急人员的其他人群，清理附近可能的火星或明火，</w:t>
            </w:r>
            <w:r>
              <w:rPr>
                <w:rFonts w:hint="eastAsia" w:ascii="Times New Roman" w:hAnsi="Times New Roman" w:eastAsia="宋体" w:cs="Times New Roman"/>
                <w:snapToGrid/>
                <w:color w:val="auto"/>
                <w:kern w:val="2"/>
                <w:sz w:val="24"/>
                <w:szCs w:val="20"/>
                <w:highlight w:val="none"/>
                <w:lang w:val="en-US" w:eastAsia="zh-CN" w:bidi="ar-SA"/>
              </w:rPr>
              <w:t>车间</w:t>
            </w:r>
            <w:r>
              <w:rPr>
                <w:rFonts w:hint="default" w:ascii="Times New Roman" w:hAnsi="Times New Roman" w:eastAsia="宋体" w:cs="Times New Roman"/>
                <w:snapToGrid/>
                <w:color w:val="auto"/>
                <w:kern w:val="2"/>
                <w:sz w:val="24"/>
                <w:szCs w:val="20"/>
                <w:highlight w:val="none"/>
                <w:lang w:val="zh-CN" w:eastAsia="zh-CN" w:bidi="ar-SA"/>
              </w:rPr>
              <w:t>严禁烟火</w:t>
            </w:r>
            <w:bookmarkEnd w:id="249"/>
            <w:bookmarkEnd w:id="250"/>
            <w:bookmarkEnd w:id="251"/>
            <w:r>
              <w:rPr>
                <w:rFonts w:hint="eastAsia" w:ascii="Times New Roman" w:hAnsi="Times New Roman" w:eastAsia="宋体" w:cs="Times New Roman"/>
                <w:snapToGrid/>
                <w:color w:val="auto"/>
                <w:kern w:val="2"/>
                <w:sz w:val="24"/>
                <w:szCs w:val="20"/>
                <w:highlight w:val="none"/>
                <w:lang w:val="en-US"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ind w:leftChars="0" w:rightChars="0" w:firstLine="482"/>
              <w:textAlignment w:val="auto"/>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②地表水环境风险影响分析</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rPr>
              <w:t>危废暂存间废机油不溶于水，若泄漏未及时处理会通过并进入厂内雨水排沟，从而流出厂外造成地表水环境污染。</w:t>
            </w:r>
            <w:r>
              <w:rPr>
                <w:rFonts w:hint="eastAsia" w:cs="Times New Roman"/>
                <w:color w:val="auto"/>
                <w:kern w:val="2"/>
                <w:sz w:val="24"/>
                <w:szCs w:val="24"/>
                <w:highlight w:val="none"/>
                <w:lang w:val="en-US" w:eastAsia="zh-CN"/>
              </w:rPr>
              <w:t>本</w:t>
            </w:r>
            <w:r>
              <w:rPr>
                <w:rFonts w:hint="default" w:ascii="Times New Roman" w:hAnsi="Times New Roman" w:cs="Times New Roman"/>
                <w:color w:val="auto"/>
                <w:kern w:val="2"/>
                <w:sz w:val="24"/>
                <w:szCs w:val="24"/>
                <w:highlight w:val="none"/>
                <w:lang w:val="en-US" w:eastAsia="zh-CN"/>
              </w:rPr>
              <w:t>项目</w:t>
            </w:r>
            <w:r>
              <w:rPr>
                <w:rFonts w:hint="default" w:ascii="Times New Roman" w:hAnsi="Times New Roman" w:eastAsia="宋体" w:cs="Times New Roman"/>
                <w:color w:val="auto"/>
                <w:kern w:val="2"/>
                <w:sz w:val="24"/>
                <w:szCs w:val="24"/>
                <w:highlight w:val="none"/>
                <w:lang w:val="en-US" w:eastAsia="zh-CN"/>
              </w:rPr>
              <w:t>场地全部进行硬化处理，废机油以桶装的形式暂存于危险废物贮存间，危废贮存间库地面防渗，有围堰或防泄漏托盘，附近配有应急砂。由于使用的废机油粘度较高，流动性不强，一旦发生泄漏事故有足够的时间可被控制，所以发生泄漏事故时对周边水体影响的可能性较小。危废间按《危险废物贮存污染控制标准》（18597-</w:t>
            </w:r>
            <w:r>
              <w:rPr>
                <w:rFonts w:hint="default" w:ascii="Times New Roman" w:hAnsi="Times New Roman" w:cs="Times New Roman"/>
                <w:color w:val="auto"/>
                <w:kern w:val="2"/>
                <w:sz w:val="24"/>
                <w:szCs w:val="24"/>
                <w:highlight w:val="none"/>
                <w:lang w:val="en-US" w:eastAsia="zh-CN"/>
              </w:rPr>
              <w:t>2023</w:t>
            </w:r>
            <w:r>
              <w:rPr>
                <w:rFonts w:hint="default" w:ascii="Times New Roman" w:hAnsi="Times New Roman" w:eastAsia="宋体" w:cs="Times New Roman"/>
                <w:color w:val="auto"/>
                <w:kern w:val="2"/>
                <w:sz w:val="24"/>
                <w:szCs w:val="24"/>
                <w:highlight w:val="none"/>
                <w:lang w:val="en-US" w:eastAsia="zh-CN"/>
              </w:rPr>
              <w:t>）等相关要求进行建设，发生泄漏的概率较小。</w:t>
            </w:r>
          </w:p>
          <w:p>
            <w:pPr>
              <w:keepNext w:val="0"/>
              <w:keepLines w:val="0"/>
              <w:pageBreakBefore w:val="0"/>
              <w:widowControl/>
              <w:kinsoku/>
              <w:wordWrap/>
              <w:overflowPunct/>
              <w:topLinePunct w:val="0"/>
              <w:autoSpaceDE/>
              <w:autoSpaceDN/>
              <w:bidi w:val="0"/>
              <w:adjustRightInd w:val="0"/>
              <w:snapToGrid w:val="0"/>
              <w:spacing w:line="360" w:lineRule="auto"/>
              <w:ind w:leftChars="0" w:rightChars="0" w:firstLine="482"/>
              <w:textAlignment w:val="auto"/>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snapToGrid/>
                <w:color w:val="auto"/>
                <w:kern w:val="2"/>
                <w:sz w:val="24"/>
                <w:szCs w:val="20"/>
                <w:highlight w:val="none"/>
                <w:lang w:val="en-US" w:eastAsia="zh-CN" w:bidi="ar-SA"/>
              </w:rPr>
              <w:t>③地下水环境风险影响分析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对地下水的影响主要的途径有危废间废油泄漏导致化学品或危废通过土壤进入地下水，从而导致地下水水质恶化；消防废水未及时收集，下渗引起的地下水的污染。由于</w:t>
            </w:r>
            <w:r>
              <w:rPr>
                <w:rFonts w:hint="eastAsia"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场地全部进行硬化处理，废机油均储存在规定的区域，且流动性不强，易于发现，泄漏的概率较小。若发生火灾，</w:t>
            </w:r>
            <w:r>
              <w:rPr>
                <w:rFonts w:hint="default" w:ascii="Times New Roman" w:hAnsi="Times New Roman" w:eastAsia="宋体" w:cs="Times New Roman"/>
                <w:color w:val="auto"/>
                <w:kern w:val="2"/>
                <w:sz w:val="24"/>
                <w:szCs w:val="24"/>
                <w:highlight w:val="none"/>
                <w:lang w:val="en-US" w:eastAsia="zh-CN"/>
              </w:rPr>
              <w:t>事故污水引入应急事故池</w:t>
            </w:r>
            <w:r>
              <w:rPr>
                <w:rFonts w:hint="default" w:ascii="Times New Roman" w:hAnsi="Times New Roman" w:eastAsia="宋体" w:cs="Times New Roman"/>
                <w:color w:val="auto"/>
                <w:sz w:val="24"/>
                <w:szCs w:val="24"/>
                <w:highlight w:val="none"/>
                <w:lang w:val="en-US" w:eastAsia="zh-CN"/>
              </w:rPr>
              <w:t>，废水漫流引起的地下水的污染的可能性较小。因此对地下水污染影响很小。</w:t>
            </w:r>
          </w:p>
          <w:p>
            <w:pPr>
              <w:keepNext w:val="0"/>
              <w:keepLines w:val="0"/>
              <w:pageBreakBefore w:val="0"/>
              <w:widowControl/>
              <w:kinsoku/>
              <w:wordWrap/>
              <w:overflowPunct/>
              <w:topLinePunct w:val="0"/>
              <w:autoSpaceDE/>
              <w:autoSpaceDN/>
              <w:bidi w:val="0"/>
              <w:adjustRightInd w:val="0"/>
              <w:snapToGrid w:val="0"/>
              <w:spacing w:line="360" w:lineRule="auto"/>
              <w:ind w:leftChars="0" w:rightChars="0" w:firstLine="482"/>
              <w:textAlignment w:val="auto"/>
              <w:rPr>
                <w:rFonts w:hint="eastAsia" w:ascii="Times New Roman" w:hAnsi="Times New Roman" w:eastAsia="宋体" w:cs="Times New Roman"/>
                <w:snapToGrid/>
                <w:color w:val="auto"/>
                <w:kern w:val="2"/>
                <w:sz w:val="24"/>
                <w:szCs w:val="20"/>
                <w:highlight w:val="none"/>
                <w:lang w:val="en-US" w:eastAsia="zh-CN" w:bidi="ar-SA"/>
              </w:rPr>
            </w:pPr>
            <w:r>
              <w:rPr>
                <w:rFonts w:hint="eastAsia" w:ascii="Times New Roman" w:hAnsi="Times New Roman" w:eastAsia="宋体" w:cs="Times New Roman"/>
                <w:snapToGrid/>
                <w:color w:val="auto"/>
                <w:kern w:val="2"/>
                <w:sz w:val="24"/>
                <w:szCs w:val="20"/>
                <w:highlight w:val="none"/>
                <w:lang w:val="en-US" w:eastAsia="zh-CN" w:bidi="ar-SA"/>
              </w:rPr>
              <w:t>④</w:t>
            </w:r>
            <w:r>
              <w:rPr>
                <w:rFonts w:hint="default" w:ascii="Times New Roman" w:hAnsi="Times New Roman" w:eastAsia="宋体" w:cs="Times New Roman"/>
                <w:snapToGrid/>
                <w:color w:val="auto"/>
                <w:kern w:val="2"/>
                <w:sz w:val="24"/>
                <w:szCs w:val="20"/>
                <w:highlight w:val="none"/>
                <w:lang w:val="en-US" w:eastAsia="zh-CN" w:bidi="ar-SA"/>
              </w:rPr>
              <w:t>土壤环境风险影响分析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color w:val="auto"/>
                <w:kern w:val="2"/>
                <w:sz w:val="24"/>
                <w:szCs w:val="20"/>
                <w:highlight w:val="none"/>
                <w:lang w:val="en-US" w:eastAsia="zh-CN" w:bidi="ar-SA"/>
              </w:rPr>
            </w:pPr>
            <w:r>
              <w:rPr>
                <w:rFonts w:hint="default" w:ascii="Times New Roman" w:hAnsi="Times New Roman" w:eastAsia="宋体" w:cs="Times New Roman"/>
                <w:color w:val="auto"/>
                <w:sz w:val="24"/>
                <w:szCs w:val="24"/>
                <w:highlight w:val="none"/>
                <w:lang w:val="en-US" w:eastAsia="zh-CN"/>
              </w:rPr>
              <w:t>废油等危废若</w:t>
            </w:r>
            <w:r>
              <w:rPr>
                <w:rFonts w:hint="default" w:ascii="Times New Roman" w:hAnsi="Times New Roman" w:cs="Times New Roman"/>
                <w:color w:val="auto"/>
                <w:sz w:val="24"/>
                <w:szCs w:val="24"/>
                <w:highlight w:val="none"/>
                <w:lang w:val="en-US" w:eastAsia="zh-CN"/>
              </w:rPr>
              <w:t>和事故废水等</w:t>
            </w:r>
            <w:r>
              <w:rPr>
                <w:rFonts w:hint="default" w:ascii="Times New Roman" w:hAnsi="Times New Roman" w:eastAsia="宋体" w:cs="Times New Roman"/>
                <w:color w:val="auto"/>
                <w:sz w:val="24"/>
                <w:szCs w:val="24"/>
                <w:highlight w:val="none"/>
                <w:lang w:val="en-US" w:eastAsia="zh-CN"/>
              </w:rPr>
              <w:t>泄漏渗透到土壤中，可能导致土壤环境质量下降</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可能导致土壤环境污染。</w:t>
            </w:r>
            <w:r>
              <w:rPr>
                <w:rFonts w:hint="eastAsia" w:ascii="Times New Roman" w:hAnsi="Times New Roman" w:eastAsia="宋体" w:cs="Times New Roman"/>
                <w:snapToGrid/>
                <w:color w:val="auto"/>
                <w:kern w:val="2"/>
                <w:sz w:val="24"/>
                <w:szCs w:val="20"/>
                <w:highlight w:val="none"/>
                <w:lang w:val="en-US" w:eastAsia="zh-CN" w:bidi="ar-SA"/>
              </w:rPr>
              <w:t>本</w:t>
            </w:r>
            <w:r>
              <w:rPr>
                <w:rFonts w:hint="default" w:ascii="Times New Roman" w:hAnsi="Times New Roman" w:eastAsia="宋体" w:cs="Times New Roman"/>
                <w:snapToGrid/>
                <w:color w:val="auto"/>
                <w:kern w:val="2"/>
                <w:sz w:val="24"/>
                <w:szCs w:val="20"/>
                <w:highlight w:val="none"/>
                <w:lang w:val="en-US" w:eastAsia="zh-CN" w:bidi="ar-SA"/>
              </w:rPr>
              <w:t>项目场地全部进行硬化处理，危废均储存在规定的区域，依托现有工程在厂区南侧设置4</w:t>
            </w:r>
            <w:r>
              <w:rPr>
                <w:rFonts w:hint="eastAsia" w:ascii="Times New Roman" w:hAnsi="Times New Roman" w:eastAsia="宋体" w:cs="Times New Roman"/>
                <w:snapToGrid/>
                <w:color w:val="auto"/>
                <w:kern w:val="2"/>
                <w:sz w:val="24"/>
                <w:szCs w:val="20"/>
                <w:highlight w:val="none"/>
                <w:lang w:val="en-US" w:eastAsia="zh-CN" w:bidi="ar-SA"/>
              </w:rPr>
              <w:t>00</w:t>
            </w:r>
            <w:r>
              <w:rPr>
                <w:rFonts w:hint="default" w:ascii="Times New Roman" w:hAnsi="Times New Roman" w:eastAsia="宋体" w:cs="Times New Roman"/>
                <w:snapToGrid/>
                <w:color w:val="auto"/>
                <w:kern w:val="2"/>
                <w:sz w:val="24"/>
                <w:szCs w:val="20"/>
                <w:highlight w:val="none"/>
                <w:lang w:val="en-US" w:eastAsia="zh-CN" w:bidi="ar-SA"/>
              </w:rPr>
              <w:t>m</w:t>
            </w:r>
            <w:r>
              <w:rPr>
                <w:rFonts w:hint="default" w:ascii="Times New Roman" w:hAnsi="Times New Roman" w:eastAsia="宋体" w:cs="Times New Roman"/>
                <w:snapToGrid/>
                <w:color w:val="auto"/>
                <w:kern w:val="2"/>
                <w:sz w:val="24"/>
                <w:szCs w:val="20"/>
                <w:highlight w:val="none"/>
                <w:vertAlign w:val="superscript"/>
                <w:lang w:val="en-US" w:eastAsia="zh-CN" w:bidi="ar-SA"/>
              </w:rPr>
              <w:t>3</w:t>
            </w:r>
            <w:r>
              <w:rPr>
                <w:rFonts w:hint="default" w:ascii="Times New Roman" w:hAnsi="Times New Roman" w:eastAsia="宋体" w:cs="Times New Roman"/>
                <w:snapToGrid/>
                <w:color w:val="auto"/>
                <w:kern w:val="2"/>
                <w:sz w:val="24"/>
                <w:szCs w:val="20"/>
                <w:highlight w:val="none"/>
                <w:lang w:val="en-US" w:eastAsia="zh-CN" w:bidi="ar-SA"/>
              </w:rPr>
              <w:t>事故</w:t>
            </w:r>
            <w:r>
              <w:rPr>
                <w:rFonts w:hint="eastAsia" w:ascii="Times New Roman" w:hAnsi="Times New Roman" w:eastAsia="宋体" w:cs="Times New Roman"/>
                <w:snapToGrid/>
                <w:color w:val="auto"/>
                <w:kern w:val="2"/>
                <w:sz w:val="24"/>
                <w:szCs w:val="20"/>
                <w:highlight w:val="none"/>
                <w:lang w:val="en-US" w:eastAsia="zh-CN" w:bidi="ar-SA"/>
              </w:rPr>
              <w:t>应急</w:t>
            </w:r>
            <w:r>
              <w:rPr>
                <w:rFonts w:hint="default" w:ascii="Times New Roman" w:hAnsi="Times New Roman" w:eastAsia="宋体" w:cs="Times New Roman"/>
                <w:snapToGrid/>
                <w:color w:val="auto"/>
                <w:kern w:val="2"/>
                <w:sz w:val="24"/>
                <w:szCs w:val="20"/>
                <w:highlight w:val="none"/>
                <w:lang w:val="en-US" w:eastAsia="zh-CN" w:bidi="ar-SA"/>
              </w:rPr>
              <w:t>池并设计相应的切换装置，事故发生泄漏引起土壤环境污染的可能性很小。</w:t>
            </w:r>
          </w:p>
          <w:p>
            <w:pPr>
              <w:pStyle w:val="4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4.2.7.5环境风险防范措施及应急要求</w:t>
            </w:r>
          </w:p>
          <w:p>
            <w:pPr>
              <w:pStyle w:val="4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pPr>
            <w:bookmarkStart w:id="252" w:name="_Toc471286094"/>
            <w:bookmarkStart w:id="253" w:name="_Toc4531"/>
            <w:bookmarkStart w:id="254" w:name="_Toc27870"/>
            <w:bookmarkStart w:id="255" w:name="_Toc468960821"/>
            <w:r>
              <w:rPr>
                <w:rFonts w:hint="default" w:ascii="Times New Roman" w:hAnsi="Times New Roman" w:eastAsia="宋体" w:cs="Times New Roman"/>
                <w:color w:val="auto"/>
                <w:kern w:val="2"/>
                <w:sz w:val="24"/>
                <w:szCs w:val="24"/>
                <w:highlight w:val="none"/>
                <w:lang w:val="en-US" w:eastAsia="zh-CN"/>
              </w:rPr>
              <w:t>为防止发生化学品泄漏、火灾等事故引起的次生环境污染，企业应按要求设置加强地面硬化，经厂区合理完善地面防腐防渗后，对土壤和水体环境风险较小。同时加强厂区废气处理设施的维护，减少废气排放，减少对周边大气环境影响很小</w:t>
            </w:r>
            <w:r>
              <w:rPr>
                <w:rFonts w:hint="eastAsia" w:cs="Times New Roman"/>
                <w:color w:val="auto"/>
                <w:kern w:val="2"/>
                <w:sz w:val="24"/>
                <w:szCs w:val="24"/>
                <w:highlight w:val="none"/>
                <w:lang w:val="en-US" w:eastAsia="zh-CN"/>
              </w:rPr>
              <w:t>。</w:t>
            </w:r>
          </w:p>
          <w:p>
            <w:pPr>
              <w:pStyle w:val="4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r>
              <w:rPr>
                <w:rFonts w:hint="default" w:ascii="Times New Roman" w:hAnsi="Times New Roman" w:eastAsia="宋体" w:cs="Times New Roman"/>
                <w:b/>
                <w:bCs/>
                <w:snapToGrid/>
                <w:color w:val="auto"/>
                <w:kern w:val="0"/>
                <w:sz w:val="24"/>
                <w:szCs w:val="24"/>
                <w:highlight w:val="none"/>
                <w:lang w:val="en-US" w:eastAsia="zh-CN" w:bidi="ar-SA"/>
              </w:rPr>
              <w:t>4.2.7.6应急预案</w:t>
            </w:r>
            <w:bookmarkEnd w:id="252"/>
            <w:bookmarkEnd w:id="253"/>
            <w:bookmarkEnd w:id="254"/>
            <w:bookmarkEnd w:id="255"/>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事故风险具有发生突然、扩散迅速、影响范围大、危害途径多、救援专业性强等特点。因此，风险应急必须统一指挥、分级负责，条块结合、区域为主，防救结合、防护为主，点面结合、确保重点，专群结合、科学有效的原则。</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cs="Times New Roman"/>
                <w:color w:val="auto"/>
                <w:sz w:val="24"/>
                <w:highlight w:val="none"/>
                <w:lang w:val="en-US" w:eastAsia="zh-CN"/>
              </w:rPr>
            </w:pPr>
            <w:r>
              <w:rPr>
                <w:rFonts w:hint="eastAsia" w:cs="Times New Roman"/>
                <w:color w:val="auto"/>
                <w:sz w:val="24"/>
                <w:szCs w:val="28"/>
                <w:highlight w:val="none"/>
                <w:lang w:val="en-US" w:eastAsia="zh-CN"/>
              </w:rPr>
              <w:t>技改</w:t>
            </w:r>
            <w:r>
              <w:rPr>
                <w:rFonts w:hint="default" w:ascii="Times New Roman" w:hAnsi="Times New Roman" w:cs="Times New Roman"/>
                <w:color w:val="auto"/>
                <w:sz w:val="24"/>
                <w:szCs w:val="28"/>
                <w:highlight w:val="none"/>
                <w:lang w:val="en-US" w:eastAsia="zh-CN"/>
              </w:rPr>
              <w:t>项目建成后，</w:t>
            </w:r>
            <w:r>
              <w:rPr>
                <w:rFonts w:hint="eastAsia" w:cs="Times New Roman"/>
                <w:color w:val="auto"/>
                <w:sz w:val="24"/>
                <w:szCs w:val="24"/>
                <w:highlight w:val="none"/>
                <w:lang w:val="en-US" w:eastAsia="zh-CN"/>
              </w:rPr>
              <w:t>福安市青拓环保建材有限公司</w:t>
            </w:r>
            <w:r>
              <w:rPr>
                <w:rFonts w:hint="default" w:ascii="Times New Roman" w:hAnsi="Times New Roman" w:cs="Times New Roman"/>
                <w:color w:val="auto"/>
                <w:sz w:val="24"/>
                <w:szCs w:val="24"/>
                <w:highlight w:val="none"/>
                <w:lang w:val="en-US" w:eastAsia="zh-CN"/>
              </w:rPr>
              <w:t>应对公司应急预案进行</w:t>
            </w:r>
            <w:r>
              <w:rPr>
                <w:rFonts w:hint="default" w:ascii="Times New Roman" w:hAnsi="Times New Roman" w:cs="Times New Roman"/>
                <w:color w:val="auto"/>
                <w:sz w:val="24"/>
                <w:szCs w:val="28"/>
                <w:highlight w:val="none"/>
                <w:lang w:val="en-US" w:eastAsia="zh-CN"/>
              </w:rPr>
              <w:t>相应的修编。</w:t>
            </w:r>
            <w:r>
              <w:rPr>
                <w:rFonts w:hint="default" w:ascii="Times New Roman" w:hAnsi="Times New Roman" w:cs="Times New Roman"/>
                <w:color w:val="auto"/>
                <w:sz w:val="24"/>
                <w:szCs w:val="24"/>
                <w:highlight w:val="none"/>
                <w:lang w:val="en-US" w:eastAsia="zh-CN"/>
              </w:rPr>
              <w:t>将本技术改造项目内容纳入修编后的应急预案。并完成备案。</w:t>
            </w:r>
          </w:p>
          <w:p>
            <w:pPr>
              <w:pStyle w:val="45"/>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snapToGrid/>
                <w:color w:val="auto"/>
                <w:kern w:val="0"/>
                <w:sz w:val="24"/>
                <w:szCs w:val="24"/>
                <w:highlight w:val="none"/>
                <w:lang w:val="en-US" w:eastAsia="zh-CN" w:bidi="ar-SA"/>
              </w:rPr>
            </w:pPr>
            <w:bookmarkStart w:id="256" w:name="_Toc437158112"/>
            <w:bookmarkStart w:id="257" w:name="_Toc471286095"/>
            <w:bookmarkStart w:id="258" w:name="_Toc423445021"/>
            <w:bookmarkStart w:id="259" w:name="_Toc437264448"/>
            <w:bookmarkStart w:id="260" w:name="_Toc420916752"/>
            <w:bookmarkStart w:id="261" w:name="_Toc332294125"/>
            <w:bookmarkStart w:id="262" w:name="_Toc446426533"/>
            <w:bookmarkStart w:id="263" w:name="_Toc444768382"/>
            <w:bookmarkStart w:id="264" w:name="_Toc22706"/>
            <w:bookmarkStart w:id="265" w:name="_Toc1804"/>
            <w:bookmarkStart w:id="266" w:name="_Toc426098820"/>
            <w:bookmarkStart w:id="267" w:name="_Toc468960822"/>
            <w:bookmarkStart w:id="268" w:name="_Toc435453570"/>
            <w:r>
              <w:rPr>
                <w:rFonts w:hint="default" w:ascii="Times New Roman" w:hAnsi="Times New Roman" w:eastAsia="宋体" w:cs="Times New Roman"/>
                <w:b/>
                <w:bCs/>
                <w:snapToGrid/>
                <w:color w:val="auto"/>
                <w:kern w:val="0"/>
                <w:sz w:val="24"/>
                <w:szCs w:val="24"/>
                <w:highlight w:val="none"/>
                <w:lang w:val="en-US" w:eastAsia="zh-CN" w:bidi="ar-SA"/>
              </w:rPr>
              <w:t>4.2.7.7 环境风险评价结论</w:t>
            </w:r>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建设项目生产过程中</w:t>
            </w:r>
            <w:r>
              <w:rPr>
                <w:rFonts w:hint="eastAsia" w:cs="Times New Roman"/>
                <w:color w:val="auto"/>
                <w:sz w:val="24"/>
                <w:szCs w:val="24"/>
                <w:highlight w:val="none"/>
                <w:lang w:val="en-US" w:eastAsia="zh-CN"/>
              </w:rPr>
              <w:t>不涉及危险物质，因此</w:t>
            </w:r>
            <w:r>
              <w:rPr>
                <w:rFonts w:hint="default" w:ascii="Times New Roman" w:hAnsi="Times New Roman" w:eastAsia="宋体" w:cs="Times New Roman"/>
                <w:color w:val="auto"/>
                <w:sz w:val="24"/>
                <w:szCs w:val="24"/>
                <w:highlight w:val="none"/>
                <w:lang w:val="en-US" w:eastAsia="zh-CN"/>
              </w:rPr>
              <w:t>不构成重大危险源，项目风险评价等级确定简单分析。项目依托</w:t>
            </w:r>
            <w:r>
              <w:rPr>
                <w:rFonts w:hint="eastAsia" w:cs="Times New Roman"/>
                <w:color w:val="auto"/>
                <w:sz w:val="24"/>
                <w:szCs w:val="24"/>
                <w:highlight w:val="none"/>
                <w:lang w:val="en-US" w:eastAsia="zh-CN"/>
              </w:rPr>
              <w:t>青拓环保建材有限公司</w:t>
            </w:r>
            <w:r>
              <w:rPr>
                <w:rFonts w:hint="default" w:ascii="Times New Roman" w:hAnsi="Times New Roman" w:eastAsia="宋体" w:cs="Times New Roman"/>
                <w:color w:val="auto"/>
                <w:sz w:val="24"/>
                <w:szCs w:val="24"/>
                <w:highlight w:val="none"/>
                <w:lang w:val="en-US" w:eastAsia="zh-CN"/>
              </w:rPr>
              <w:t>已设有的</w:t>
            </w:r>
            <w:r>
              <w:rPr>
                <w:rFonts w:hint="eastAsia" w:cs="Times New Roman"/>
                <w:color w:val="auto"/>
                <w:sz w:val="24"/>
                <w:szCs w:val="24"/>
                <w:highlight w:val="none"/>
                <w:lang w:val="en-US" w:eastAsia="zh-CN"/>
              </w:rPr>
              <w:t>事故应急池</w:t>
            </w:r>
            <w:r>
              <w:rPr>
                <w:rFonts w:hint="default" w:ascii="Times New Roman" w:hAnsi="Times New Roman" w:eastAsia="宋体" w:cs="Times New Roman"/>
                <w:color w:val="auto"/>
                <w:sz w:val="24"/>
                <w:szCs w:val="24"/>
                <w:highlight w:val="none"/>
                <w:lang w:val="en-US" w:eastAsia="zh-CN"/>
              </w:rPr>
              <w:t>，可防止消防水未经处理进入周围水环境，环境风险影响基本可控制在厂区范围内。项目风险事故发生概率比较低，发生事故对周围敏感目标的危害后果较小，在采取严格的风险防范措施后，从环境风险角度分析是可承受的。</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0000FF"/>
                <w:sz w:val="24"/>
                <w:szCs w:val="24"/>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360" w:firstLineChars="200"/>
              <w:textAlignment w:val="auto"/>
              <w:rPr>
                <w:rFonts w:hint="default" w:ascii="Times New Roman" w:hAnsi="Times New Roman" w:cs="Times New Roman"/>
                <w:color w:val="0000FF"/>
                <w:highlight w:val="none"/>
                <w:vertAlign w:val="baseline"/>
              </w:rPr>
            </w:pPr>
          </w:p>
        </w:tc>
      </w:tr>
    </w:tbl>
    <w:p>
      <w:pPr>
        <w:pStyle w:val="43"/>
        <w:rPr>
          <w:rFonts w:hint="default" w:ascii="Times New Roman" w:hAnsi="Times New Roman" w:cs="Times New Roman"/>
          <w:color w:val="0000FF"/>
        </w:rPr>
        <w:sectPr>
          <w:pgSz w:w="11907" w:h="16840"/>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61" w:charSpace="0"/>
        </w:sectPr>
      </w:pPr>
    </w:p>
    <w:p>
      <w:pPr>
        <w:keepNext w:val="0"/>
        <w:keepLines w:val="0"/>
        <w:pageBreakBefore w:val="0"/>
        <w:widowControl/>
        <w:kinsoku/>
        <w:wordWrap/>
        <w:overflowPunct/>
        <w:topLinePunct w:val="0"/>
        <w:autoSpaceDE/>
        <w:autoSpaceDN/>
        <w:bidi w:val="0"/>
        <w:adjustRightInd/>
        <w:snapToGrid w:val="0"/>
        <w:spacing w:before="157" w:beforeLines="50" w:after="156" w:afterLines="50" w:line="240" w:lineRule="auto"/>
        <w:jc w:val="center"/>
        <w:textAlignment w:val="auto"/>
        <w:outlineLvl w:val="0"/>
        <w:rPr>
          <w:rFonts w:hint="default" w:ascii="Times New Roman" w:hAnsi="Times New Roman" w:eastAsia="黑体" w:cs="Times New Roman"/>
          <w:snapToGrid w:val="0"/>
          <w:color w:val="auto"/>
          <w:kern w:val="0"/>
          <w:sz w:val="30"/>
          <w:szCs w:val="30"/>
          <w:highlight w:val="none"/>
          <w:lang w:val="en-US" w:eastAsia="zh-CN"/>
        </w:rPr>
      </w:pPr>
      <w:bookmarkStart w:id="269" w:name="_Toc31883"/>
      <w:r>
        <w:rPr>
          <w:rFonts w:hint="eastAsia" w:ascii="Times New Roman" w:hAnsi="Times New Roman" w:eastAsia="黑体" w:cs="Times New Roman"/>
          <w:snapToGrid w:val="0"/>
          <w:color w:val="auto"/>
          <w:kern w:val="0"/>
          <w:sz w:val="30"/>
          <w:szCs w:val="30"/>
          <w:highlight w:val="none"/>
          <w:lang w:val="en-US" w:eastAsia="zh-CN"/>
        </w:rPr>
        <w:t>五、</w:t>
      </w:r>
      <w:r>
        <w:rPr>
          <w:rFonts w:hint="default" w:ascii="Times New Roman" w:hAnsi="Times New Roman" w:eastAsia="黑体" w:cs="Times New Roman"/>
          <w:snapToGrid w:val="0"/>
          <w:color w:val="auto"/>
          <w:kern w:val="0"/>
          <w:sz w:val="30"/>
          <w:szCs w:val="30"/>
          <w:highlight w:val="none"/>
          <w:lang w:val="en-US" w:eastAsia="zh-CN"/>
        </w:rPr>
        <w:t>环境保护措施监督检查清单</w:t>
      </w:r>
      <w:bookmarkEnd w:id="125"/>
      <w:bookmarkEnd w:id="126"/>
      <w:bookmarkEnd w:id="127"/>
      <w:bookmarkEnd w:id="128"/>
      <w:bookmarkEnd w:id="269"/>
    </w:p>
    <w:tbl>
      <w:tblPr>
        <w:tblStyle w:val="33"/>
        <w:tblW w:w="50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21"/>
        <w:gridCol w:w="1953"/>
        <w:gridCol w:w="1225"/>
        <w:gridCol w:w="1606"/>
        <w:gridCol w:w="2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5" w:type="pct"/>
            <w:tcBorders>
              <w:tl2br w:val="single" w:color="auto" w:sz="4" w:space="0"/>
            </w:tcBorders>
            <w:noWrap w:val="0"/>
            <w:vAlign w:val="top"/>
          </w:tcPr>
          <w:p>
            <w:pPr>
              <w:keepNext w:val="0"/>
              <w:keepLines w:val="0"/>
              <w:pageBreakBefore w:val="0"/>
              <w:kinsoku/>
              <w:wordWrap/>
              <w:overflowPunct/>
              <w:topLinePunct w:val="0"/>
              <w:bidi w:val="0"/>
              <w:adjustRightInd w:val="0"/>
              <w:snapToGrid w:val="0"/>
              <w:ind w:firstLine="840"/>
              <w:jc w:val="right"/>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内容</w:t>
            </w:r>
          </w:p>
          <w:p>
            <w:pPr>
              <w:keepNext w:val="0"/>
              <w:keepLines w:val="0"/>
              <w:pageBreakBefore w:val="0"/>
              <w:kinsoku/>
              <w:wordWrap/>
              <w:overflowPunct/>
              <w:topLinePunct w:val="0"/>
              <w:bidi w:val="0"/>
              <w:adjustRightInd w:val="0"/>
              <w:snapToGrid w:val="0"/>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056"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排放口(编号、名称)/污染源</w:t>
            </w:r>
          </w:p>
        </w:tc>
        <w:tc>
          <w:tcPr>
            <w:tcW w:w="662"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868"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1428"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985" w:type="pct"/>
            <w:vMerge w:val="restar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056"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破碎、筛分、搅拌和皮带传送</w:t>
            </w:r>
            <w:r>
              <w:rPr>
                <w:rFonts w:hint="default" w:ascii="Times New Roman" w:hAnsi="Times New Roman" w:cs="Times New Roman"/>
                <w:color w:val="auto"/>
                <w:sz w:val="21"/>
                <w:szCs w:val="21"/>
                <w:highlight w:val="none"/>
                <w:lang w:val="en-US" w:eastAsia="zh-CN"/>
              </w:rPr>
              <w:t>废气（G1</w:t>
            </w:r>
            <w:r>
              <w:rPr>
                <w:rFonts w:hint="default" w:ascii="Times New Roman" w:hAnsi="Times New Roman" w:cs="Times New Roman"/>
                <w:color w:val="auto"/>
                <w:highlight w:val="none"/>
                <w:lang w:val="en-US" w:eastAsia="zh-CN"/>
              </w:rPr>
              <w:t>）</w:t>
            </w:r>
          </w:p>
        </w:tc>
        <w:tc>
          <w:tcPr>
            <w:tcW w:w="662"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868"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各自</w:t>
            </w:r>
            <w:r>
              <w:rPr>
                <w:rFonts w:hint="eastAsia" w:cs="Times New Roman"/>
                <w:color w:val="auto"/>
                <w:sz w:val="21"/>
                <w:szCs w:val="21"/>
                <w:highlight w:val="none"/>
                <w:lang w:eastAsia="zh-CN"/>
              </w:rPr>
              <w:t>集气</w:t>
            </w:r>
            <w:r>
              <w:rPr>
                <w:rFonts w:hint="eastAsia" w:cs="Times New Roman"/>
                <w:color w:val="auto"/>
                <w:sz w:val="21"/>
                <w:szCs w:val="21"/>
                <w:highlight w:val="none"/>
                <w:lang w:val="en-US" w:eastAsia="zh-CN"/>
              </w:rPr>
              <w:t>后</w:t>
            </w:r>
            <w:r>
              <w:rPr>
                <w:rFonts w:hint="default" w:ascii="Times New Roman" w:hAnsi="Times New Roman" w:cs="Times New Roman"/>
                <w:color w:val="auto"/>
                <w:sz w:val="21"/>
                <w:szCs w:val="21"/>
                <w:highlight w:val="none"/>
                <w:lang w:eastAsia="zh-CN"/>
              </w:rPr>
              <w:t>，统一经1套布袋除尘器处理后，通过1</w:t>
            </w:r>
            <w:r>
              <w:rPr>
                <w:rFonts w:hint="eastAsia" w:cs="Times New Roman"/>
                <w:color w:val="auto"/>
                <w:sz w:val="21"/>
                <w:szCs w:val="21"/>
                <w:highlight w:val="none"/>
                <w:lang w:val="en-US" w:eastAsia="zh-CN"/>
              </w:rPr>
              <w:t>根</w:t>
            </w:r>
            <w:r>
              <w:rPr>
                <w:rFonts w:hint="default" w:ascii="Times New Roman" w:hAnsi="Times New Roman" w:cs="Times New Roman"/>
                <w:color w:val="auto"/>
                <w:sz w:val="21"/>
                <w:szCs w:val="21"/>
                <w:highlight w:val="none"/>
                <w:lang w:eastAsia="zh-CN"/>
              </w:rPr>
              <w:t>15m高排气筒排放。（</w:t>
            </w:r>
            <w:r>
              <w:rPr>
                <w:rFonts w:hint="default" w:ascii="Times New Roman" w:hAnsi="Times New Roman" w:cs="Times New Roman"/>
                <w:color w:val="auto"/>
                <w:sz w:val="21"/>
                <w:szCs w:val="21"/>
                <w:highlight w:val="none"/>
                <w:lang w:val="en-US" w:eastAsia="zh-CN"/>
              </w:rPr>
              <w:t>DA0</w:t>
            </w:r>
            <w:r>
              <w:rPr>
                <w:rFonts w:hint="eastAsia" w:cs="Times New Roman"/>
                <w:color w:val="auto"/>
                <w:sz w:val="21"/>
                <w:szCs w:val="21"/>
                <w:highlight w:val="none"/>
                <w:lang w:val="en-US" w:eastAsia="zh-CN"/>
              </w:rPr>
              <w:t>03</w:t>
            </w:r>
            <w:r>
              <w:rPr>
                <w:rFonts w:hint="default" w:ascii="Times New Roman" w:hAnsi="Times New Roman" w:cs="Times New Roman"/>
                <w:color w:val="auto"/>
                <w:sz w:val="21"/>
                <w:szCs w:val="21"/>
                <w:highlight w:val="none"/>
                <w:lang w:eastAsia="zh-CN"/>
              </w:rPr>
              <w:t>）</w:t>
            </w:r>
          </w:p>
        </w:tc>
        <w:tc>
          <w:tcPr>
            <w:tcW w:w="1428" w:type="pct"/>
            <w:vMerge w:val="restart"/>
            <w:noWrap w:val="0"/>
            <w:vAlign w:val="center"/>
          </w:tcPr>
          <w:p>
            <w:pPr>
              <w:pStyle w:val="65"/>
              <w:keepNext w:val="0"/>
              <w:keepLines w:val="0"/>
              <w:pageBreakBefore w:val="0"/>
              <w:kinsoku/>
              <w:wordWrap/>
              <w:overflowPunct/>
              <w:topLinePunct w:val="0"/>
              <w:autoSpaceDE w:val="0"/>
              <w:autoSpaceDN w:val="0"/>
              <w:bidi w:val="0"/>
              <w:adjustRightInd w:val="0"/>
              <w:snapToGrid w:val="0"/>
              <w:spacing w:beforeLines="0" w:afterLines="0" w:line="240" w:lineRule="exact"/>
              <w:ind w:left="0" w:leftChars="0" w:firstLine="0" w:firstLineChars="0"/>
              <w:jc w:val="both"/>
              <w:textAlignment w:val="auto"/>
              <w:outlineLvl w:val="9"/>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《大气污染物综合排放标准》（GB16297-1996）表2中二级标准（颗粒物≤</w:t>
            </w:r>
            <w:r>
              <w:rPr>
                <w:rFonts w:hint="eastAsia" w:ascii="Times New Roman"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，排放速率</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3.5</w:t>
            </w:r>
            <w:r>
              <w:rPr>
                <w:rFonts w:hint="default" w:ascii="Times New Roman" w:hAnsi="Times New Roman" w:eastAsia="宋体" w:cs="Times New Roman"/>
                <w:bCs/>
                <w:color w:val="auto"/>
                <w:sz w:val="21"/>
                <w:szCs w:val="21"/>
              </w:rPr>
              <w:t>kg/h</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highlight w:val="none"/>
                <w:lang w:val="en-US" w:eastAsia="zh-CN"/>
              </w:rPr>
              <w:t>企业边界监控点浓度限值≤</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5" w:type="pct"/>
            <w:vMerge w:val="continue"/>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p>
        </w:tc>
        <w:tc>
          <w:tcPr>
            <w:tcW w:w="1056"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无组织废气</w:t>
            </w:r>
          </w:p>
        </w:tc>
        <w:tc>
          <w:tcPr>
            <w:tcW w:w="662"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颗粒物</w:t>
            </w:r>
          </w:p>
        </w:tc>
        <w:tc>
          <w:tcPr>
            <w:tcW w:w="868" w:type="pct"/>
            <w:noWrap w:val="0"/>
            <w:vAlign w:val="center"/>
          </w:tcPr>
          <w:p>
            <w:pPr>
              <w:keepNext w:val="0"/>
              <w:keepLines w:val="0"/>
              <w:pageBreakBefore w:val="0"/>
              <w:kinsoku/>
              <w:wordWrap/>
              <w:overflowPunct/>
              <w:topLinePunct w:val="0"/>
              <w:bidi w:val="0"/>
              <w:adjustRightInd w:val="0"/>
              <w:snapToGrid w:val="0"/>
              <w:jc w:val="both"/>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加强车间通风</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洒水抑尘</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运输过程使用车载篷布遮盖</w:t>
            </w:r>
            <w:r>
              <w:rPr>
                <w:rFonts w:hint="eastAsia" w:cs="Times New Roman"/>
                <w:color w:val="auto"/>
                <w:szCs w:val="21"/>
                <w:highlight w:val="none"/>
                <w:lang w:val="en-US" w:eastAsia="zh-CN"/>
              </w:rPr>
              <w:t>。</w:t>
            </w:r>
          </w:p>
        </w:tc>
        <w:tc>
          <w:tcPr>
            <w:tcW w:w="142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color w:val="auto"/>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056"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生活污水</w:t>
            </w:r>
          </w:p>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排放口</w:t>
            </w:r>
          </w:p>
        </w:tc>
        <w:tc>
          <w:tcPr>
            <w:tcW w:w="662"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eastAsia="宋体" w:cs="Times New Roman"/>
                <w:color w:val="auto"/>
                <w:sz w:val="21"/>
                <w:szCs w:val="21"/>
                <w:highlight w:val="none"/>
                <w:lang w:val="en-US" w:eastAsia="zh-CN"/>
              </w:rPr>
              <w:t>pH、SS、COD、氨氮、总</w:t>
            </w:r>
            <w:r>
              <w:rPr>
                <w:rFonts w:hint="eastAsia" w:ascii="Times New Roman" w:hAnsi="Times New Roman" w:cs="Times New Roman"/>
                <w:color w:val="auto"/>
                <w:sz w:val="21"/>
                <w:szCs w:val="21"/>
                <w:highlight w:val="none"/>
                <w:lang w:val="en-US" w:eastAsia="zh-CN"/>
              </w:rPr>
              <w:t>氮</w:t>
            </w:r>
            <w:r>
              <w:rPr>
                <w:rFonts w:hint="default" w:ascii="Times New Roman" w:hAnsi="Times New Roman" w:eastAsia="宋体" w:cs="Times New Roman"/>
                <w:color w:val="auto"/>
                <w:sz w:val="21"/>
                <w:szCs w:val="21"/>
                <w:highlight w:val="none"/>
                <w:lang w:val="en-US" w:eastAsia="zh-CN"/>
              </w:rPr>
              <w:t>、总</w:t>
            </w:r>
            <w:r>
              <w:rPr>
                <w:rFonts w:hint="eastAsia" w:ascii="Times New Roman" w:hAnsi="Times New Roman" w:cs="Times New Roman"/>
                <w:color w:val="auto"/>
                <w:sz w:val="21"/>
                <w:szCs w:val="21"/>
                <w:highlight w:val="none"/>
                <w:lang w:val="en-US" w:eastAsia="zh-CN"/>
              </w:rPr>
              <w:t>磷</w:t>
            </w:r>
          </w:p>
        </w:tc>
        <w:tc>
          <w:tcPr>
            <w:tcW w:w="868" w:type="pct"/>
            <w:noWrap w:val="0"/>
            <w:vAlign w:val="center"/>
          </w:tcPr>
          <w:p>
            <w:pPr>
              <w:keepNext w:val="0"/>
              <w:keepLines w:val="0"/>
              <w:pageBreakBefore w:val="0"/>
              <w:kinsoku/>
              <w:wordWrap/>
              <w:overflowPunct/>
              <w:topLinePunct w:val="0"/>
              <w:bidi w:val="0"/>
              <w:adjustRightInd w:val="0"/>
              <w:snapToGrid w:val="0"/>
              <w:jc w:val="both"/>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生活污水进化粪池处理后</w:t>
            </w:r>
            <w:r>
              <w:rPr>
                <w:rFonts w:hint="eastAsia"/>
                <w:color w:val="auto"/>
                <w:sz w:val="21"/>
                <w:szCs w:val="21"/>
              </w:rPr>
              <w:t>福安市湾坞西片区污水处理厂</w:t>
            </w:r>
          </w:p>
        </w:tc>
        <w:tc>
          <w:tcPr>
            <w:tcW w:w="1428" w:type="pct"/>
            <w:noWrap w:val="0"/>
            <w:vAlign w:val="center"/>
          </w:tcPr>
          <w:p>
            <w:pPr>
              <w:keepNext w:val="0"/>
              <w:keepLines w:val="0"/>
              <w:pageBreakBefore w:val="0"/>
              <w:kinsoku/>
              <w:wordWrap/>
              <w:overflowPunct/>
              <w:topLinePunct w:val="0"/>
              <w:bidi w:val="0"/>
              <w:adjustRightInd w:val="0"/>
              <w:snapToGrid w:val="0"/>
              <w:jc w:val="both"/>
              <w:textAlignment w:val="auto"/>
              <w:outlineLvl w:val="9"/>
              <w:rPr>
                <w:rFonts w:hint="eastAsia"/>
                <w:color w:val="auto"/>
                <w:sz w:val="21"/>
                <w:szCs w:val="21"/>
                <w:lang w:eastAsia="zh-CN"/>
              </w:rPr>
            </w:pPr>
            <w:r>
              <w:rPr>
                <w:rFonts w:hint="eastAsia"/>
                <w:color w:val="auto"/>
                <w:sz w:val="21"/>
                <w:szCs w:val="21"/>
              </w:rPr>
              <w:t>福安市湾坞西片区污水处理厂接管要求</w:t>
            </w:r>
            <w:r>
              <w:rPr>
                <w:rFonts w:hint="eastAsia"/>
                <w:color w:val="auto"/>
                <w:sz w:val="21"/>
                <w:szCs w:val="21"/>
                <w:lang w:eastAsia="zh-CN"/>
              </w:rPr>
              <w:t>。</w:t>
            </w:r>
          </w:p>
          <w:p>
            <w:pPr>
              <w:keepNext w:val="0"/>
              <w:keepLines w:val="0"/>
              <w:pageBreakBefore w:val="0"/>
              <w:kinsoku/>
              <w:wordWrap/>
              <w:overflowPunct/>
              <w:topLinePunct w:val="0"/>
              <w:bidi w:val="0"/>
              <w:adjustRightInd w:val="0"/>
              <w:snapToGrid w:val="0"/>
              <w:jc w:val="both"/>
              <w:textAlignment w:val="auto"/>
              <w:outlineLvl w:val="9"/>
              <w:rPr>
                <w:rFonts w:hint="eastAsia" w:ascii="Times New Roman" w:hAnsi="Times New Roman" w:eastAsia="宋体" w:cs="Times New Roman"/>
                <w:color w:val="auto"/>
                <w:szCs w:val="21"/>
                <w:lang w:eastAsia="zh-CN"/>
              </w:rPr>
            </w:pPr>
            <w:r>
              <w:rPr>
                <w:rFonts w:hint="eastAsia" w:cs="Times New Roman"/>
                <w:color w:val="auto"/>
                <w:szCs w:val="21"/>
                <w:lang w:eastAsia="zh-CN"/>
              </w:rPr>
              <w:t>（</w:t>
            </w:r>
            <w:r>
              <w:rPr>
                <w:rFonts w:hint="default" w:ascii="Times New Roman" w:hAnsi="Times New Roman" w:eastAsia="宋体" w:cs="Times New Roman"/>
                <w:color w:val="auto"/>
                <w:sz w:val="21"/>
                <w:szCs w:val="21"/>
                <w:highlight w:val="none"/>
                <w:lang w:val="en-US" w:eastAsia="zh-CN"/>
              </w:rPr>
              <w:t>pH6~9，COD≤360mg/L，SS≤300mg/L，氨氮≤35mg/L，总</w:t>
            </w:r>
            <w:r>
              <w:rPr>
                <w:rFonts w:hint="eastAsia" w:ascii="Times New Roman" w:hAnsi="Times New Roman" w:cs="Times New Roman"/>
                <w:color w:val="auto"/>
                <w:sz w:val="21"/>
                <w:szCs w:val="21"/>
                <w:highlight w:val="none"/>
                <w:lang w:val="en-US" w:eastAsia="zh-CN"/>
              </w:rPr>
              <w:t>氮</w:t>
            </w:r>
            <w:r>
              <w:rPr>
                <w:rFonts w:hint="default" w:ascii="Times New Roman" w:hAnsi="Times New Roman" w:eastAsia="宋体" w:cs="Times New Roman"/>
                <w:color w:val="auto"/>
                <w:sz w:val="21"/>
                <w:szCs w:val="21"/>
                <w:highlight w:val="none"/>
                <w:lang w:val="en-US" w:eastAsia="zh-CN"/>
              </w:rPr>
              <w:t>≤45mg/L，总</w:t>
            </w:r>
            <w:r>
              <w:rPr>
                <w:rFonts w:hint="eastAsia" w:ascii="Times New Roman" w:hAnsi="Times New Roman" w:cs="Times New Roman"/>
                <w:color w:val="auto"/>
                <w:sz w:val="21"/>
                <w:szCs w:val="21"/>
                <w:highlight w:val="none"/>
                <w:lang w:val="en-US" w:eastAsia="zh-CN"/>
              </w:rPr>
              <w:t>磷</w:t>
            </w:r>
            <w:r>
              <w:rPr>
                <w:rFonts w:hint="default" w:ascii="Times New Roman" w:hAnsi="Times New Roman" w:eastAsia="宋体" w:cs="Times New Roman"/>
                <w:color w:val="auto"/>
                <w:sz w:val="21"/>
                <w:szCs w:val="21"/>
                <w:highlight w:val="none"/>
                <w:lang w:val="en-US" w:eastAsia="zh-CN"/>
              </w:rPr>
              <w:t>≤3.5mg/L</w:t>
            </w:r>
            <w:r>
              <w:rPr>
                <w:rFonts w:hint="eastAsia"/>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056"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eastAsia" w:cs="Times New Roman"/>
                <w:color w:val="auto"/>
                <w:szCs w:val="21"/>
                <w:lang w:val="en-US" w:eastAsia="zh-CN"/>
              </w:rPr>
              <w:t>破碎机、筛分机、搅拌机</w:t>
            </w:r>
            <w:r>
              <w:rPr>
                <w:rFonts w:hint="default" w:ascii="Times New Roman" w:hAnsi="Times New Roman" w:eastAsia="宋体" w:cs="Times New Roman"/>
                <w:color w:val="auto"/>
                <w:szCs w:val="21"/>
                <w:lang w:eastAsia="zh-CN"/>
              </w:rPr>
              <w:t>等</w:t>
            </w:r>
          </w:p>
        </w:tc>
        <w:tc>
          <w:tcPr>
            <w:tcW w:w="662"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868"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厂房隔声、</w:t>
            </w:r>
          </w:p>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设备减振</w:t>
            </w:r>
          </w:p>
        </w:tc>
        <w:tc>
          <w:tcPr>
            <w:tcW w:w="1428" w:type="pct"/>
            <w:noWrap w:val="0"/>
            <w:vAlign w:val="center"/>
          </w:tcPr>
          <w:p>
            <w:pPr>
              <w:keepNext w:val="0"/>
              <w:keepLines w:val="0"/>
              <w:pageBreakBefore w:val="0"/>
              <w:kinsoku/>
              <w:wordWrap/>
              <w:overflowPunct/>
              <w:topLinePunct w:val="0"/>
              <w:bidi w:val="0"/>
              <w:adjustRightInd w:val="0"/>
              <w:snapToGrid w:val="0"/>
              <w:jc w:val="both"/>
              <w:textAlignment w:val="auto"/>
              <w:outlineLvl w:val="9"/>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《工业企业厂界环境噪声排放标准》</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GB12348-2008</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3类标准</w:t>
            </w:r>
            <w:r>
              <w:rPr>
                <w:rFonts w:hint="eastAsia" w:cs="Times New Roman"/>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0000FF"/>
                <w:szCs w:val="21"/>
              </w:rPr>
            </w:pPr>
            <w:r>
              <w:rPr>
                <w:rFonts w:hint="default" w:ascii="Times New Roman" w:hAnsi="Times New Roman" w:cs="Times New Roman"/>
                <w:color w:val="auto"/>
                <w:szCs w:val="21"/>
              </w:rPr>
              <w:t>电磁辐射</w:t>
            </w:r>
          </w:p>
        </w:tc>
        <w:tc>
          <w:tcPr>
            <w:tcW w:w="1056"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62"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68"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428"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76"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40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before="188" w:beforeLines="50" w:line="360" w:lineRule="auto"/>
              <w:ind w:firstLine="480" w:firstLineChars="200"/>
              <w:jc w:val="both"/>
              <w:textAlignment w:val="auto"/>
              <w:outlineLvl w:val="9"/>
              <w:rPr>
                <w:rFonts w:hint="default" w:ascii="Times New Roman" w:hAnsi="Times New Roman" w:cs="Times New Roman"/>
                <w:color w:val="0000FF"/>
                <w:sz w:val="24"/>
              </w:rPr>
            </w:pPr>
            <w:r>
              <w:rPr>
                <w:rFonts w:hint="default" w:ascii="Times New Roman" w:hAnsi="Times New Roman" w:cs="Times New Roman"/>
                <w:color w:val="auto"/>
                <w:sz w:val="24"/>
              </w:rPr>
              <w:t>一般固废：</w:t>
            </w:r>
            <w:r>
              <w:rPr>
                <w:rFonts w:hint="eastAsia" w:cs="Times New Roman"/>
                <w:color w:val="auto"/>
                <w:sz w:val="24"/>
                <w:lang w:val="en-US" w:eastAsia="zh-CN"/>
              </w:rPr>
              <w:t>除尘灰主要成分为氧化钙，收集后回用于公司生产</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危险废物：</w:t>
            </w:r>
            <w:r>
              <w:rPr>
                <w:rFonts w:hint="default" w:ascii="Times New Roman" w:hAnsi="Times New Roman" w:eastAsia="宋体" w:cs="Times New Roman"/>
                <w:color w:val="auto"/>
                <w:sz w:val="24"/>
                <w:lang w:val="en-US" w:eastAsia="zh-CN"/>
              </w:rPr>
              <w:t>依托</w:t>
            </w:r>
            <w:r>
              <w:rPr>
                <w:rFonts w:hint="eastAsia" w:cs="Times New Roman"/>
                <w:color w:val="auto"/>
                <w:sz w:val="24"/>
                <w:lang w:val="en-US" w:eastAsia="zh-CN"/>
              </w:rPr>
              <w:t>福安市青拓环保建材有限公司</w:t>
            </w:r>
            <w:r>
              <w:rPr>
                <w:rFonts w:hint="default" w:ascii="Times New Roman" w:hAnsi="Times New Roman" w:eastAsia="宋体" w:cs="Times New Roman"/>
                <w:color w:val="auto"/>
                <w:sz w:val="24"/>
                <w:lang w:val="en-US" w:eastAsia="zh-CN"/>
              </w:rPr>
              <w:t>现有</w:t>
            </w:r>
            <w:r>
              <w:rPr>
                <w:rFonts w:hint="default" w:ascii="Times New Roman" w:hAnsi="Times New Roman" w:eastAsia="宋体" w:cs="Times New Roman"/>
                <w:color w:val="auto"/>
                <w:sz w:val="24"/>
              </w:rPr>
              <w:t>危险废物贮存间。废机油</w:t>
            </w:r>
            <w:r>
              <w:rPr>
                <w:rFonts w:hint="default" w:ascii="Times New Roman" w:hAnsi="Times New Roman" w:eastAsia="宋体" w:cs="Times New Roman"/>
                <w:color w:val="auto"/>
                <w:sz w:val="24"/>
                <w:lang w:eastAsia="zh-CN"/>
              </w:rPr>
              <w:t>在危险废物贮存间暂存，委托</w:t>
            </w:r>
            <w:r>
              <w:rPr>
                <w:rFonts w:hint="default" w:ascii="Times New Roman" w:hAnsi="Times New Roman" w:eastAsia="宋体" w:cs="Times New Roman"/>
                <w:color w:val="auto"/>
                <w:sz w:val="24"/>
                <w:lang w:val="en-US" w:eastAsia="zh-CN"/>
              </w:rPr>
              <w:t>福建</w:t>
            </w:r>
            <w:r>
              <w:rPr>
                <w:rFonts w:hint="eastAsia" w:cs="Times New Roman"/>
                <w:color w:val="auto"/>
                <w:sz w:val="24"/>
                <w:lang w:val="en-US" w:eastAsia="zh-CN"/>
              </w:rPr>
              <w:t>省三明辉润石化有限</w:t>
            </w:r>
            <w:r>
              <w:rPr>
                <w:rFonts w:hint="default" w:ascii="Times New Roman" w:hAnsi="Times New Roman" w:eastAsia="宋体" w:cs="Times New Roman"/>
                <w:color w:val="auto"/>
                <w:sz w:val="24"/>
                <w:lang w:val="en-US" w:eastAsia="zh-CN"/>
              </w:rPr>
              <w:t>公司</w:t>
            </w:r>
            <w:r>
              <w:rPr>
                <w:rFonts w:hint="default" w:ascii="Times New Roman" w:hAnsi="Times New Roman" w:eastAsia="宋体" w:cs="Times New Roman"/>
                <w:color w:val="auto"/>
                <w:sz w:val="24"/>
                <w:lang w:eastAsia="zh-CN"/>
              </w:rPr>
              <w:t>处置。</w:t>
            </w:r>
            <w:r>
              <w:rPr>
                <w:rFonts w:hint="eastAsia" w:cs="Times New Roman"/>
                <w:color w:val="auto"/>
                <w:sz w:val="24"/>
                <w:lang w:val="en-US" w:eastAsia="zh-CN"/>
              </w:rPr>
              <w:t>本</w:t>
            </w:r>
            <w:r>
              <w:rPr>
                <w:rFonts w:hint="default" w:ascii="Times New Roman" w:hAnsi="Times New Roman" w:eastAsia="宋体" w:cs="Times New Roman"/>
                <w:color w:val="auto"/>
                <w:sz w:val="24"/>
                <w:lang w:val="en-US" w:eastAsia="zh-CN"/>
              </w:rPr>
              <w:t>项目在日常管理中</w:t>
            </w:r>
            <w:r>
              <w:rPr>
                <w:rFonts w:hint="eastAsia" w:cs="Times New Roman"/>
                <w:color w:val="auto"/>
                <w:sz w:val="24"/>
                <w:lang w:val="en-US" w:eastAsia="zh-CN"/>
              </w:rPr>
              <w:t>还</w:t>
            </w:r>
            <w:r>
              <w:rPr>
                <w:rFonts w:hint="default" w:ascii="Times New Roman" w:hAnsi="Times New Roman" w:eastAsia="宋体" w:cs="Times New Roman"/>
                <w:color w:val="auto"/>
                <w:sz w:val="24"/>
                <w:lang w:val="en-US" w:eastAsia="zh-CN"/>
              </w:rPr>
              <w:t>应根据《危险废物贮存污染控制标准》（GB 18597-2023）按危险废物的类别、数量、形态、物理化学性质和污染防治等要求细化设置必要的贮存分区，避免不相容的危险废物接触、混合，不同贮存分区之间应采取隔离措施，隔离措施可根据危险废物特性采用过道、隔板或隔墙等方式</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完善相关环境管理要求和危险废物贮存设施环境应急要求。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eastAsia="宋体" w:cs="Times New Roman"/>
                <w:color w:val="auto"/>
                <w:sz w:val="24"/>
              </w:rPr>
              <w:t>生活垃圾：</w:t>
            </w:r>
            <w:r>
              <w:rPr>
                <w:rFonts w:hint="default" w:ascii="Times New Roman" w:hAnsi="Times New Roman" w:eastAsia="宋体" w:cs="Times New Roman"/>
                <w:color w:val="auto"/>
                <w:sz w:val="24"/>
                <w:lang w:val="en-US" w:eastAsia="zh-CN"/>
              </w:rPr>
              <w:t>依托</w:t>
            </w:r>
            <w:r>
              <w:rPr>
                <w:rFonts w:hint="eastAsia" w:cs="Times New Roman"/>
                <w:color w:val="auto"/>
                <w:sz w:val="24"/>
                <w:lang w:val="en-US" w:eastAsia="zh-CN"/>
              </w:rPr>
              <w:t>福安市青拓环保建材有限公司</w:t>
            </w:r>
            <w:r>
              <w:rPr>
                <w:rFonts w:hint="default" w:ascii="Times New Roman" w:hAnsi="Times New Roman" w:eastAsia="宋体" w:cs="Times New Roman"/>
                <w:color w:val="auto"/>
                <w:sz w:val="24"/>
                <w:lang w:val="en-US" w:eastAsia="zh-CN"/>
              </w:rPr>
              <w:t>现有</w:t>
            </w:r>
            <w:r>
              <w:rPr>
                <w:rFonts w:hint="default" w:ascii="Times New Roman" w:hAnsi="Times New Roman" w:eastAsia="宋体" w:cs="Times New Roman"/>
                <w:color w:val="auto"/>
                <w:sz w:val="24"/>
              </w:rPr>
              <w:t>生活垃圾收集点，定期由环卫部门清运处置。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9"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土壤及地下水</w:t>
            </w:r>
          </w:p>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c>
          <w:tcPr>
            <w:tcW w:w="4014" w:type="pct"/>
            <w:gridSpan w:val="4"/>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1"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4014" w:type="pct"/>
            <w:gridSpan w:val="4"/>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6"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401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before="188" w:beforeLines="50" w:line="360" w:lineRule="auto"/>
              <w:ind w:firstLine="480" w:firstLineChars="20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4"/>
                <w:highlight w:val="none"/>
                <w:lang w:val="en-US" w:eastAsia="zh-CN"/>
              </w:rPr>
              <w:t>福安市青拓环保建材有限公司已编制了突发环境事件应急预案，并通过宁德市福安生态环境局备案，备案号：350981-2020-132-L。</w:t>
            </w:r>
            <w:r>
              <w:rPr>
                <w:rFonts w:hint="default" w:ascii="Times New Roman" w:hAnsi="Times New Roman" w:cs="Times New Roman"/>
                <w:color w:val="auto"/>
                <w:sz w:val="24"/>
                <w:highlight w:val="none"/>
              </w:rPr>
              <w:t>本次项目建成后，</w:t>
            </w:r>
            <w:r>
              <w:rPr>
                <w:rFonts w:hint="eastAsia" w:cs="Times New Roman"/>
                <w:color w:val="auto"/>
                <w:sz w:val="24"/>
                <w:highlight w:val="none"/>
                <w:lang w:eastAsia="zh-CN"/>
              </w:rPr>
              <w:t>福安市青拓环保建材有限公司</w:t>
            </w:r>
            <w:r>
              <w:rPr>
                <w:rFonts w:hint="default" w:ascii="Times New Roman" w:hAnsi="Times New Roman" w:cs="Times New Roman"/>
                <w:color w:val="auto"/>
                <w:sz w:val="24"/>
                <w:highlight w:val="none"/>
              </w:rPr>
              <w:t>应对</w:t>
            </w:r>
            <w:r>
              <w:rPr>
                <w:rFonts w:hint="default" w:ascii="Times New Roman" w:hAnsi="Times New Roman" w:cs="Times New Roman"/>
                <w:color w:val="auto"/>
                <w:sz w:val="24"/>
                <w:highlight w:val="none"/>
                <w:lang w:eastAsia="zh-CN"/>
              </w:rPr>
              <w:t>公司</w:t>
            </w:r>
            <w:r>
              <w:rPr>
                <w:rFonts w:hint="default" w:ascii="Times New Roman" w:hAnsi="Times New Roman" w:cs="Times New Roman"/>
                <w:color w:val="auto"/>
                <w:sz w:val="24"/>
                <w:highlight w:val="none"/>
              </w:rPr>
              <w:t>应急预案进行修编。</w:t>
            </w:r>
            <w:r>
              <w:rPr>
                <w:rFonts w:hint="default" w:ascii="Times New Roman" w:hAnsi="Times New Roman" w:cs="Times New Roman"/>
                <w:color w:val="auto"/>
                <w:sz w:val="24"/>
                <w:highlight w:val="none"/>
                <w:lang w:val="en-US" w:eastAsia="zh-CN"/>
              </w:rPr>
              <w:t>要求</w:t>
            </w:r>
            <w:r>
              <w:rPr>
                <w:rFonts w:hint="default" w:ascii="Times New Roman" w:hAnsi="Times New Roman" w:cs="Times New Roman"/>
                <w:color w:val="auto"/>
                <w:sz w:val="24"/>
                <w:highlight w:val="none"/>
              </w:rPr>
              <w:t>应急预案</w:t>
            </w:r>
            <w:r>
              <w:rPr>
                <w:rFonts w:hint="default" w:ascii="Times New Roman" w:hAnsi="Times New Roman" w:cs="Times New Roman"/>
                <w:color w:val="auto"/>
                <w:sz w:val="24"/>
                <w:highlight w:val="none"/>
                <w:lang w:val="en-US" w:eastAsia="zh-CN"/>
              </w:rPr>
              <w:t>覆盖钢渣综合利用项目相关内容和《危险废物贮存污染控制标准》（GB 18597-2023）的新要求。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985" w:type="pct"/>
            <w:noWrap w:val="0"/>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cs="Times New Roman"/>
                <w:color w:val="0000FF"/>
                <w:spacing w:val="-8"/>
                <w:szCs w:val="21"/>
              </w:rPr>
            </w:pPr>
            <w:r>
              <w:rPr>
                <w:rFonts w:hint="default" w:ascii="Times New Roman" w:hAnsi="Times New Roman" w:cs="Times New Roman"/>
                <w:color w:val="auto"/>
                <w:spacing w:val="-8"/>
                <w:szCs w:val="21"/>
              </w:rPr>
              <w:t>管理要求</w:t>
            </w:r>
          </w:p>
        </w:tc>
        <w:tc>
          <w:tcPr>
            <w:tcW w:w="4014" w:type="pct"/>
            <w:gridSpan w:val="4"/>
            <w:noWrap w:val="0"/>
            <w:vAlign w:val="center"/>
          </w:tcPr>
          <w:p>
            <w:pPr>
              <w:pStyle w:val="10"/>
              <w:keepNext w:val="0"/>
              <w:keepLines w:val="0"/>
              <w:pageBreakBefore w:val="0"/>
              <w:widowControl w:val="0"/>
              <w:kinsoku/>
              <w:wordWrap/>
              <w:overflowPunct/>
              <w:topLinePunct w:val="0"/>
              <w:autoSpaceDE/>
              <w:autoSpaceDN/>
              <w:bidi w:val="0"/>
              <w:adjustRightInd w:val="0"/>
              <w:snapToGrid w:val="0"/>
              <w:spacing w:before="188" w:beforeLines="50" w:line="360" w:lineRule="auto"/>
              <w:ind w:firstLine="482" w:firstLineChars="200"/>
              <w:jc w:val="both"/>
              <w:textAlignment w:val="auto"/>
              <w:outlineLvl w:val="9"/>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（1）环境管理规章制度</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福安市青拓环保建材有限公司</w:t>
            </w:r>
            <w:r>
              <w:rPr>
                <w:rFonts w:hint="default" w:ascii="Times New Roman" w:hAnsi="Times New Roman" w:cs="Times New Roman"/>
                <w:color w:val="auto"/>
                <w:sz w:val="24"/>
                <w:highlight w:val="none"/>
                <w:lang w:val="en-US" w:eastAsia="zh-CN"/>
              </w:rPr>
              <w:t>应对原环境管理规章制度进行修编，增加覆盖</w:t>
            </w:r>
            <w:r>
              <w:rPr>
                <w:rFonts w:hint="eastAsia" w:cs="Times New Roman"/>
                <w:color w:val="auto"/>
                <w:sz w:val="24"/>
                <w:highlight w:val="none"/>
                <w:lang w:val="en-US" w:eastAsia="zh-CN"/>
              </w:rPr>
              <w:t>技建</w:t>
            </w:r>
            <w:r>
              <w:rPr>
                <w:rFonts w:hint="default" w:ascii="Times New Roman" w:hAnsi="Times New Roman" w:cs="Times New Roman"/>
                <w:color w:val="auto"/>
                <w:sz w:val="24"/>
                <w:highlight w:val="none"/>
                <w:lang w:val="en-US" w:eastAsia="zh-CN"/>
              </w:rPr>
              <w:t>项目</w:t>
            </w:r>
            <w:r>
              <w:rPr>
                <w:rFonts w:hint="eastAsia" w:cs="Times New Roman"/>
                <w:color w:val="auto"/>
                <w:sz w:val="24"/>
                <w:highlight w:val="none"/>
                <w:lang w:val="en-US" w:eastAsia="zh-CN"/>
              </w:rPr>
              <w:t>的</w:t>
            </w:r>
            <w:r>
              <w:rPr>
                <w:rFonts w:hint="default" w:ascii="Times New Roman" w:hAnsi="Times New Roman" w:cs="Times New Roman"/>
                <w:color w:val="auto"/>
                <w:sz w:val="24"/>
                <w:highlight w:val="none"/>
                <w:lang w:val="en-US" w:eastAsia="zh-CN"/>
              </w:rPr>
              <w:t>相关内容和《危险废物贮存污染控制标准》（GB 18597-2023）的新要求。</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jc w:val="both"/>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（2）排污口规范化</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现有工程</w:t>
            </w:r>
            <w:r>
              <w:rPr>
                <w:rFonts w:hint="eastAsia" w:cs="Times New Roman"/>
                <w:color w:val="auto"/>
                <w:sz w:val="24"/>
                <w:szCs w:val="24"/>
                <w:highlight w:val="none"/>
                <w:lang w:val="en-US" w:eastAsia="zh-CN"/>
              </w:rPr>
              <w:t>已</w:t>
            </w:r>
            <w:r>
              <w:rPr>
                <w:rFonts w:hint="default" w:ascii="Times New Roman" w:hAnsi="Times New Roman" w:cs="Times New Roman"/>
                <w:color w:val="auto"/>
                <w:sz w:val="24"/>
                <w:szCs w:val="24"/>
                <w:highlight w:val="none"/>
                <w:lang w:val="en-US" w:eastAsia="zh-CN"/>
              </w:rPr>
              <w:t>按照《关于开展排放口规范化整治工作的通知》（环发〔1999〕24号）和《排污口规范化整治技术要求（试行）》（环监〔1996〕470号）等文件要求，</w:t>
            </w:r>
            <w:r>
              <w:rPr>
                <w:rFonts w:hint="eastAsia" w:cs="Times New Roman"/>
                <w:color w:val="auto"/>
                <w:sz w:val="24"/>
                <w:szCs w:val="24"/>
                <w:highlight w:val="none"/>
                <w:lang w:val="en-US" w:eastAsia="zh-CN"/>
              </w:rPr>
              <w:t>完成</w:t>
            </w:r>
            <w:r>
              <w:rPr>
                <w:rFonts w:hint="default" w:ascii="Times New Roman" w:hAnsi="Times New Roman" w:cs="Times New Roman"/>
                <w:color w:val="auto"/>
                <w:sz w:val="24"/>
                <w:szCs w:val="24"/>
                <w:highlight w:val="none"/>
                <w:lang w:val="en-US" w:eastAsia="zh-CN"/>
              </w:rPr>
              <w:t>排污口规范化设置工作。</w:t>
            </w:r>
            <w:r>
              <w:rPr>
                <w:rFonts w:hint="eastAsia" w:cs="Times New Roman"/>
                <w:color w:val="auto"/>
                <w:sz w:val="24"/>
                <w:szCs w:val="24"/>
                <w:highlight w:val="none"/>
                <w:lang w:val="en-US" w:eastAsia="zh-CN"/>
              </w:rPr>
              <w:t>本项目建成后，应按照</w:t>
            </w:r>
            <w:r>
              <w:rPr>
                <w:rFonts w:hint="eastAsia" w:cs="Times New Roman"/>
                <w:color w:val="auto"/>
                <w:sz w:val="24"/>
                <w:highlight w:val="none"/>
                <w:lang w:val="en-US" w:eastAsia="zh-CN"/>
              </w:rPr>
              <w:t>相关</w:t>
            </w:r>
            <w:r>
              <w:rPr>
                <w:rFonts w:hint="default" w:ascii="Times New Roman" w:hAnsi="Times New Roman" w:cs="Times New Roman"/>
                <w:color w:val="auto"/>
                <w:sz w:val="24"/>
                <w:szCs w:val="24"/>
                <w:highlight w:val="none"/>
                <w:lang w:val="en-US" w:eastAsia="zh-CN"/>
              </w:rPr>
              <w:t>排污口规范化</w:t>
            </w:r>
            <w:r>
              <w:rPr>
                <w:rFonts w:hint="eastAsia" w:cs="Times New Roman"/>
                <w:color w:val="auto"/>
                <w:sz w:val="24"/>
                <w:szCs w:val="24"/>
                <w:highlight w:val="none"/>
                <w:lang w:val="en-US" w:eastAsia="zh-CN"/>
              </w:rPr>
              <w:t>要求，完成技改项目</w:t>
            </w:r>
            <w:r>
              <w:rPr>
                <w:rFonts w:hint="default" w:ascii="Times New Roman" w:hAnsi="Times New Roman" w:cs="Times New Roman"/>
                <w:color w:val="auto"/>
                <w:sz w:val="24"/>
                <w:szCs w:val="24"/>
                <w:highlight w:val="none"/>
                <w:lang w:val="en-US" w:eastAsia="zh-CN"/>
              </w:rPr>
              <w:t>排污口规范化设置工作。</w:t>
            </w:r>
          </w:p>
          <w:p>
            <w:pPr>
              <w:pStyle w:val="2"/>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各污染源排放口应设置专项图标，执行《环境图形标准排污口（源）》（GB15563.1-1995），各排污口（源）提示标志形状采用正方形边框，背景颜色采用绿色，图形颜色采用白色。标志牌应设在与之功能相应的醒目处，并保持清晰、完整。排气筒预留监测口，以便环保部门监督检查。</w:t>
            </w:r>
          </w:p>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表5.1-1  排污口提示图形符号</w:t>
            </w: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510"/>
              <w:gridCol w:w="1510"/>
              <w:gridCol w:w="1510"/>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排放口</w:t>
                  </w:r>
                </w:p>
              </w:tc>
              <w:tc>
                <w:tcPr>
                  <w:tcW w:w="1510"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废水排放口</w:t>
                  </w:r>
                </w:p>
              </w:tc>
              <w:tc>
                <w:tcPr>
                  <w:tcW w:w="1510"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废气排放口</w:t>
                  </w:r>
                </w:p>
              </w:tc>
              <w:tc>
                <w:tcPr>
                  <w:tcW w:w="1510"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噪声排放源</w:t>
                  </w:r>
                </w:p>
              </w:tc>
              <w:tc>
                <w:tcPr>
                  <w:tcW w:w="1525"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固体废物提示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图形</w:t>
                  </w:r>
                </w:p>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符号</w:t>
                  </w:r>
                </w:p>
              </w:tc>
              <w:tc>
                <w:tcPr>
                  <w:tcW w:w="1510"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952500" cy="952500"/>
                        <wp:effectExtent l="0" t="0" r="0" b="0"/>
                        <wp:docPr id="14" name="图片 101"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1" descr="点击看大图及详细资料"/>
                                <pic:cNvPicPr>
                                  <a:picLocks noChangeAspect="1"/>
                                </pic:cNvPicPr>
                              </pic:nvPicPr>
                              <pic:blipFill>
                                <a:blip r:embed="rId30"/>
                                <a:stretch>
                                  <a:fillRect/>
                                </a:stretch>
                              </pic:blipFill>
                              <pic:spPr>
                                <a:xfrm>
                                  <a:off x="0" y="0"/>
                                  <a:ext cx="952500" cy="952500"/>
                                </a:xfrm>
                                <a:prstGeom prst="rect">
                                  <a:avLst/>
                                </a:prstGeom>
                                <a:noFill/>
                                <a:ln>
                                  <a:noFill/>
                                </a:ln>
                              </pic:spPr>
                            </pic:pic>
                          </a:graphicData>
                        </a:graphic>
                      </wp:inline>
                    </w:drawing>
                  </w:r>
                </w:p>
              </w:tc>
              <w:tc>
                <w:tcPr>
                  <w:tcW w:w="1510"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952500" cy="952500"/>
                        <wp:effectExtent l="0" t="0" r="0" b="0"/>
                        <wp:docPr id="15" name="图片 102"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2" descr="点击看大图及详细资料"/>
                                <pic:cNvPicPr>
                                  <a:picLocks noChangeAspect="1"/>
                                </pic:cNvPicPr>
                              </pic:nvPicPr>
                              <pic:blipFill>
                                <a:blip r:embed="rId31"/>
                                <a:stretch>
                                  <a:fillRect/>
                                </a:stretch>
                              </pic:blipFill>
                              <pic:spPr>
                                <a:xfrm>
                                  <a:off x="0" y="0"/>
                                  <a:ext cx="952500" cy="952500"/>
                                </a:xfrm>
                                <a:prstGeom prst="rect">
                                  <a:avLst/>
                                </a:prstGeom>
                                <a:noFill/>
                                <a:ln>
                                  <a:noFill/>
                                </a:ln>
                              </pic:spPr>
                            </pic:pic>
                          </a:graphicData>
                        </a:graphic>
                      </wp:inline>
                    </w:drawing>
                  </w:r>
                </w:p>
              </w:tc>
              <w:tc>
                <w:tcPr>
                  <w:tcW w:w="1510"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952500" cy="952500"/>
                        <wp:effectExtent l="0" t="0" r="0" b="0"/>
                        <wp:docPr id="16" name="图片 103"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3" descr="点击看大图及详细资料"/>
                                <pic:cNvPicPr>
                                  <a:picLocks noChangeAspect="1"/>
                                </pic:cNvPicPr>
                              </pic:nvPicPr>
                              <pic:blipFill>
                                <a:blip r:embed="rId32"/>
                                <a:stretch>
                                  <a:fillRect/>
                                </a:stretch>
                              </pic:blipFill>
                              <pic:spPr>
                                <a:xfrm>
                                  <a:off x="0" y="0"/>
                                  <a:ext cx="952500" cy="952500"/>
                                </a:xfrm>
                                <a:prstGeom prst="rect">
                                  <a:avLst/>
                                </a:prstGeom>
                                <a:noFill/>
                                <a:ln>
                                  <a:noFill/>
                                </a:ln>
                              </pic:spPr>
                            </pic:pic>
                          </a:graphicData>
                        </a:graphic>
                      </wp:inline>
                    </w:drawing>
                  </w:r>
                </w:p>
              </w:tc>
              <w:tc>
                <w:tcPr>
                  <w:tcW w:w="1525"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964565" cy="937260"/>
                        <wp:effectExtent l="0" t="0" r="6985" b="15240"/>
                        <wp:docPr id="17" name="图片 10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4" descr="点击看大图及详细资料"/>
                                <pic:cNvPicPr>
                                  <a:picLocks noChangeAspect="1"/>
                                </pic:cNvPicPr>
                              </pic:nvPicPr>
                              <pic:blipFill>
                                <a:blip r:embed="rId33"/>
                                <a:stretch>
                                  <a:fillRect/>
                                </a:stretch>
                              </pic:blipFill>
                              <pic:spPr>
                                <a:xfrm>
                                  <a:off x="0" y="0"/>
                                  <a:ext cx="964565" cy="9372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背景颜色</w:t>
                  </w:r>
                </w:p>
              </w:tc>
              <w:tc>
                <w:tcPr>
                  <w:tcW w:w="6055" w:type="dxa"/>
                  <w:gridSpan w:val="4"/>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7"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图形颜色</w:t>
                  </w:r>
                </w:p>
              </w:tc>
              <w:tc>
                <w:tcPr>
                  <w:tcW w:w="6055" w:type="dxa"/>
                  <w:gridSpan w:val="4"/>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白色</w:t>
                  </w:r>
                </w:p>
              </w:tc>
            </w:tr>
          </w:tbl>
          <w:p>
            <w:pPr>
              <w:pStyle w:val="10"/>
              <w:keepNext w:val="0"/>
              <w:keepLines w:val="0"/>
              <w:pageBreakBefore w:val="0"/>
              <w:widowControl w:val="0"/>
              <w:kinsoku/>
              <w:wordWrap/>
              <w:overflowPunct/>
              <w:topLinePunct w:val="0"/>
              <w:autoSpaceDE/>
              <w:autoSpaceDN/>
              <w:bidi w:val="0"/>
              <w:adjustRightInd/>
              <w:snapToGrid/>
              <w:spacing w:before="188" w:beforeLines="50"/>
              <w:ind w:firstLine="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表5.1-2  排污口警告图形符号</w:t>
            </w:r>
          </w:p>
          <w:tbl>
            <w:tblPr>
              <w:tblStyle w:val="33"/>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261"/>
              <w:gridCol w:w="1261"/>
              <w:gridCol w:w="1261"/>
              <w:gridCol w:w="1261"/>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排放口</w:t>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废水排放口</w:t>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废气排放口</w:t>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噪声排放源</w:t>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固体废物</w:t>
                  </w:r>
                </w:p>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提示</w:t>
                  </w:r>
                </w:p>
              </w:tc>
              <w:tc>
                <w:tcPr>
                  <w:tcW w:w="1259"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危险</w:t>
                  </w:r>
                  <w:r>
                    <w:rPr>
                      <w:rFonts w:hint="default" w:ascii="Times New Roman" w:hAnsi="Times New Roman" w:cs="Times New Roman"/>
                      <w:color w:val="auto"/>
                      <w:szCs w:val="21"/>
                      <w:highlight w:val="none"/>
                      <w:lang w:val="en-US" w:eastAsia="zh-CN"/>
                    </w:rPr>
                    <w:t>废物</w:t>
                  </w:r>
                </w:p>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998"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图形</w:t>
                  </w:r>
                </w:p>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符号</w:t>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770255" cy="677545"/>
                        <wp:effectExtent l="0" t="0" r="10795" b="8255"/>
                        <wp:docPr id="18" name="图片 10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5" descr="点击看大图及详细资料"/>
                                <pic:cNvPicPr>
                                  <a:picLocks noChangeAspect="1"/>
                                </pic:cNvPicPr>
                              </pic:nvPicPr>
                              <pic:blipFill>
                                <a:blip r:embed="rId34"/>
                                <a:stretch>
                                  <a:fillRect/>
                                </a:stretch>
                              </pic:blipFill>
                              <pic:spPr>
                                <a:xfrm>
                                  <a:off x="0" y="0"/>
                                  <a:ext cx="770255" cy="677545"/>
                                </a:xfrm>
                                <a:prstGeom prst="rect">
                                  <a:avLst/>
                                </a:prstGeom>
                                <a:noFill/>
                                <a:ln>
                                  <a:noFill/>
                                </a:ln>
                              </pic:spPr>
                            </pic:pic>
                          </a:graphicData>
                        </a:graphic>
                      </wp:inline>
                    </w:drawing>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762635" cy="670560"/>
                        <wp:effectExtent l="0" t="0" r="18415" b="15240"/>
                        <wp:docPr id="19" name="图片 10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6" descr="点击看大图及详细资料"/>
                                <pic:cNvPicPr>
                                  <a:picLocks noChangeAspect="1"/>
                                </pic:cNvPicPr>
                              </pic:nvPicPr>
                              <pic:blipFill>
                                <a:blip r:embed="rId35"/>
                                <a:stretch>
                                  <a:fillRect/>
                                </a:stretch>
                              </pic:blipFill>
                              <pic:spPr>
                                <a:xfrm>
                                  <a:off x="0" y="0"/>
                                  <a:ext cx="762635" cy="670560"/>
                                </a:xfrm>
                                <a:prstGeom prst="rect">
                                  <a:avLst/>
                                </a:prstGeom>
                                <a:noFill/>
                                <a:ln>
                                  <a:noFill/>
                                </a:ln>
                              </pic:spPr>
                            </pic:pic>
                          </a:graphicData>
                        </a:graphic>
                      </wp:inline>
                    </w:drawing>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738505" cy="649605"/>
                        <wp:effectExtent l="0" t="0" r="4445" b="17145"/>
                        <wp:docPr id="20" name="图片 10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7" descr="点击看大图及详细资料"/>
                                <pic:cNvPicPr>
                                  <a:picLocks noChangeAspect="1"/>
                                </pic:cNvPicPr>
                              </pic:nvPicPr>
                              <pic:blipFill>
                                <a:blip r:embed="rId36"/>
                                <a:stretch>
                                  <a:fillRect/>
                                </a:stretch>
                              </pic:blipFill>
                              <pic:spPr>
                                <a:xfrm>
                                  <a:off x="0" y="0"/>
                                  <a:ext cx="738505" cy="649605"/>
                                </a:xfrm>
                                <a:prstGeom prst="rect">
                                  <a:avLst/>
                                </a:prstGeom>
                                <a:noFill/>
                                <a:ln>
                                  <a:noFill/>
                                </a:ln>
                              </pic:spPr>
                            </pic:pic>
                          </a:graphicData>
                        </a:graphic>
                      </wp:inline>
                    </w:drawing>
                  </w:r>
                </w:p>
              </w:tc>
              <w:tc>
                <w:tcPr>
                  <w:tcW w:w="1261"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735965" cy="649605"/>
                        <wp:effectExtent l="0" t="0" r="6985" b="17145"/>
                        <wp:docPr id="21" name="图片 108"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8" descr="点击看大图及详细资料"/>
                                <pic:cNvPicPr>
                                  <a:picLocks noChangeAspect="1"/>
                                </pic:cNvPicPr>
                              </pic:nvPicPr>
                              <pic:blipFill>
                                <a:blip r:embed="rId37"/>
                                <a:stretch>
                                  <a:fillRect/>
                                </a:stretch>
                              </pic:blipFill>
                              <pic:spPr>
                                <a:xfrm>
                                  <a:off x="0" y="0"/>
                                  <a:ext cx="735965" cy="649605"/>
                                </a:xfrm>
                                <a:prstGeom prst="rect">
                                  <a:avLst/>
                                </a:prstGeom>
                                <a:noFill/>
                                <a:ln>
                                  <a:noFill/>
                                </a:ln>
                              </pic:spPr>
                            </pic:pic>
                          </a:graphicData>
                        </a:graphic>
                      </wp:inline>
                    </w:drawing>
                  </w:r>
                </w:p>
              </w:tc>
              <w:tc>
                <w:tcPr>
                  <w:tcW w:w="1259"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drawing>
                      <wp:inline distT="0" distB="0" distL="114300" distR="114300">
                        <wp:extent cx="708025" cy="722630"/>
                        <wp:effectExtent l="0" t="0" r="15875" b="1270"/>
                        <wp:docPr id="56" name="图片 56" descr="d3e40f97ba61757df24f0415e8989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3e40f97ba61757df24f0415e89897c"/>
                                <pic:cNvPicPr>
                                  <a:picLocks noChangeAspect="1"/>
                                </pic:cNvPicPr>
                              </pic:nvPicPr>
                              <pic:blipFill>
                                <a:blip r:embed="rId38"/>
                                <a:srcRect l="57212" t="-2715" r="3256" b="21449"/>
                                <a:stretch>
                                  <a:fillRect/>
                                </a:stretch>
                              </pic:blipFill>
                              <pic:spPr>
                                <a:xfrm>
                                  <a:off x="0" y="0"/>
                                  <a:ext cx="708025" cy="7226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背景颜色</w:t>
                  </w:r>
                </w:p>
              </w:tc>
              <w:tc>
                <w:tcPr>
                  <w:tcW w:w="6303" w:type="dxa"/>
                  <w:gridSpan w:val="5"/>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dxa"/>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图形颜色</w:t>
                  </w:r>
                </w:p>
              </w:tc>
              <w:tc>
                <w:tcPr>
                  <w:tcW w:w="6303" w:type="dxa"/>
                  <w:gridSpan w:val="5"/>
                  <w:noWrap w:val="0"/>
                  <w:tcMar>
                    <w:left w:w="0" w:type="dxa"/>
                    <w:right w:w="0" w:type="dxa"/>
                  </w:tcMar>
                  <w:vAlign w:val="center"/>
                </w:tcPr>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黑色</w:t>
                  </w:r>
                </w:p>
              </w:tc>
            </w:tr>
          </w:tbl>
          <w:p>
            <w:pPr>
              <w:keepNext w:val="0"/>
              <w:keepLines w:val="0"/>
              <w:pageBreakBefore w:val="0"/>
              <w:widowControl w:val="0"/>
              <w:tabs>
                <w:tab w:val="left" w:pos="2910"/>
              </w:tabs>
              <w:kinsoku/>
              <w:wordWrap/>
              <w:overflowPunct/>
              <w:topLinePunct w:val="0"/>
              <w:autoSpaceDE/>
              <w:autoSpaceDN/>
              <w:bidi w:val="0"/>
              <w:adjustRightInd w:val="0"/>
              <w:snapToGrid w:val="0"/>
              <w:spacing w:before="188" w:beforeLines="50" w:line="360" w:lineRule="auto"/>
              <w:ind w:firstLine="482" w:firstLineChars="200"/>
              <w:textAlignment w:val="auto"/>
              <w:outlineLvl w:val="9"/>
              <w:rPr>
                <w:rFonts w:hint="default" w:ascii="Times New Roman" w:hAnsi="Times New Roman" w:eastAsia="宋体" w:cs="Times New Roman"/>
                <w:b/>
                <w:bCs/>
                <w:color w:val="auto"/>
                <w:kern w:val="0"/>
                <w:sz w:val="24"/>
                <w:szCs w:val="24"/>
                <w:highlight w:val="none"/>
                <w:lang w:val="en-US" w:eastAsia="zh-CN" w:bidi="ar-SA"/>
              </w:rPr>
            </w:pPr>
            <w:bookmarkStart w:id="270" w:name="_Toc29917"/>
            <w:r>
              <w:rPr>
                <w:rFonts w:hint="default" w:ascii="Times New Roman" w:hAnsi="Times New Roman" w:eastAsia="宋体" w:cs="Times New Roman"/>
                <w:b/>
                <w:bCs/>
                <w:color w:val="auto"/>
                <w:kern w:val="0"/>
                <w:sz w:val="24"/>
                <w:szCs w:val="24"/>
                <w:highlight w:val="none"/>
                <w:lang w:val="en-US" w:eastAsia="zh-CN" w:bidi="ar-SA"/>
              </w:rPr>
              <w:t>（3）自行监测</w:t>
            </w:r>
            <w:bookmarkEnd w:id="270"/>
          </w:p>
          <w:p>
            <w:pPr>
              <w:keepNext w:val="0"/>
              <w:keepLines w:val="0"/>
              <w:pageBreakBefore w:val="0"/>
              <w:widowControl w:val="0"/>
              <w:tabs>
                <w:tab w:val="left" w:pos="2910"/>
              </w:tabs>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项目建成投产后，应按照《排污单位自行监测技术指南 总则》（HJ819-2017）中的规定，</w:t>
            </w:r>
            <w:r>
              <w:rPr>
                <w:rFonts w:hint="eastAsia" w:cs="Times New Roman"/>
                <w:color w:val="auto"/>
                <w:sz w:val="24"/>
                <w:highlight w:val="none"/>
                <w:lang w:val="en-US" w:eastAsia="zh-CN"/>
              </w:rPr>
              <w:t>完善</w:t>
            </w:r>
            <w:r>
              <w:rPr>
                <w:rFonts w:hint="eastAsia" w:cs="Times New Roman"/>
                <w:color w:val="auto"/>
                <w:sz w:val="24"/>
                <w:highlight w:val="none"/>
                <w:lang w:eastAsia="zh-CN"/>
              </w:rPr>
              <w:t>福安市青拓环保建材有限公司</w:t>
            </w:r>
            <w:r>
              <w:rPr>
                <w:rFonts w:hint="eastAsia" w:cs="Times New Roman"/>
                <w:color w:val="auto"/>
                <w:sz w:val="24"/>
                <w:highlight w:val="none"/>
                <w:lang w:val="en-US" w:eastAsia="zh-CN"/>
              </w:rPr>
              <w:t>现有自行监测计划，</w:t>
            </w:r>
            <w:r>
              <w:rPr>
                <w:rFonts w:hint="default" w:ascii="Times New Roman" w:hAnsi="Times New Roman" w:cs="Times New Roman"/>
                <w:color w:val="auto"/>
                <w:sz w:val="24"/>
                <w:highlight w:val="none"/>
              </w:rPr>
              <w:t>查清所有污染源，</w:t>
            </w:r>
            <w:r>
              <w:rPr>
                <w:rFonts w:hint="eastAsia" w:cs="Times New Roman"/>
                <w:color w:val="auto"/>
                <w:sz w:val="24"/>
                <w:highlight w:val="none"/>
                <w:lang w:val="en-US" w:eastAsia="zh-CN"/>
              </w:rPr>
              <w:t>将本项目的污染源纳入监测，</w:t>
            </w:r>
            <w:r>
              <w:rPr>
                <w:rFonts w:hint="default" w:ascii="Times New Roman" w:hAnsi="Times New Roman" w:cs="Times New Roman"/>
                <w:color w:val="auto"/>
                <w:sz w:val="24"/>
                <w:highlight w:val="none"/>
              </w:rPr>
              <w:t>确定主要污染源及主要监测指标，制定监测方案</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监测内容见表5.1-3。</w:t>
            </w:r>
          </w:p>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eastAsia="宋体" w:cs="Times New Roman"/>
                <w:b/>
                <w:bCs/>
                <w:color w:val="auto"/>
                <w:sz w:val="24"/>
                <w:szCs w:val="24"/>
                <w:highlight w:val="none"/>
                <w:lang w:val="en-US" w:eastAsia="zh-CN"/>
              </w:rPr>
            </w:pPr>
            <w:bookmarkStart w:id="271" w:name="_Toc20850"/>
            <w:r>
              <w:rPr>
                <w:rFonts w:hint="default" w:ascii="Times New Roman" w:hAnsi="Times New Roman" w:eastAsia="宋体" w:cs="Times New Roman"/>
                <w:b/>
                <w:bCs/>
                <w:color w:val="auto"/>
                <w:sz w:val="24"/>
                <w:szCs w:val="24"/>
                <w:highlight w:val="none"/>
                <w:lang w:val="en-US" w:eastAsia="zh-CN"/>
              </w:rPr>
              <w:t>表5.1-3  项目投产后自行环境监测计划一览表</w:t>
            </w:r>
            <w:bookmarkEnd w:id="271"/>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1"/>
              <w:gridCol w:w="1286"/>
              <w:gridCol w:w="950"/>
              <w:gridCol w:w="1114"/>
              <w:gridCol w:w="2661"/>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5"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监测内容</w:t>
                  </w:r>
                </w:p>
              </w:tc>
              <w:tc>
                <w:tcPr>
                  <w:tcW w:w="869"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监测位置</w:t>
                  </w:r>
                </w:p>
              </w:tc>
              <w:tc>
                <w:tcPr>
                  <w:tcW w:w="642"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753"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监测频率</w:t>
                  </w:r>
                </w:p>
              </w:tc>
              <w:tc>
                <w:tcPr>
                  <w:tcW w:w="1798"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执行标准限值</w:t>
                  </w:r>
                </w:p>
              </w:tc>
              <w:tc>
                <w:tcPr>
                  <w:tcW w:w="611"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5" w:type="pct"/>
                  <w:vMerge w:val="restar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869"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olor w:val="auto"/>
                    </w:rPr>
                    <w:t>1</w:t>
                  </w:r>
                  <w:r>
                    <w:rPr>
                      <w:color w:val="auto"/>
                    </w:rPr>
                    <w:t>#</w:t>
                  </w:r>
                  <w:r>
                    <w:rPr>
                      <w:rFonts w:hint="eastAsia"/>
                      <w:color w:val="auto"/>
                    </w:rPr>
                    <w:t>生产</w:t>
                  </w:r>
                  <w:r>
                    <w:rPr>
                      <w:color w:val="auto"/>
                    </w:rPr>
                    <w:t>线</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DA0</w:t>
                  </w:r>
                  <w:r>
                    <w:rPr>
                      <w:rFonts w:hint="eastAsia" w:cs="Times New Roman"/>
                      <w:color w:val="auto"/>
                      <w:sz w:val="21"/>
                      <w:szCs w:val="21"/>
                      <w:highlight w:val="none"/>
                      <w:lang w:val="en-US" w:eastAsia="zh-CN"/>
                    </w:rPr>
                    <w:t>01）</w:t>
                  </w:r>
                </w:p>
              </w:tc>
              <w:tc>
                <w:tcPr>
                  <w:tcW w:w="642" w:type="pct"/>
                  <w:vMerge w:val="restar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color w:val="auto"/>
                    </w:rPr>
                    <w:t>SO</w:t>
                  </w:r>
                  <w:r>
                    <w:rPr>
                      <w:color w:val="auto"/>
                      <w:vertAlign w:val="subscript"/>
                    </w:rPr>
                    <w:t>2</w:t>
                  </w:r>
                  <w:r>
                    <w:rPr>
                      <w:color w:val="auto"/>
                    </w:rPr>
                    <w:t>、NO</w:t>
                  </w:r>
                  <w:r>
                    <w:rPr>
                      <w:rFonts w:hint="eastAsia"/>
                      <w:color w:val="auto"/>
                      <w:vertAlign w:val="subscript"/>
                    </w:rPr>
                    <w:t>x</w:t>
                  </w:r>
                  <w:r>
                    <w:rPr>
                      <w:color w:val="auto"/>
                    </w:rPr>
                    <w:t>、</w:t>
                  </w:r>
                  <w:r>
                    <w:rPr>
                      <w:rFonts w:hint="eastAsia"/>
                      <w:color w:val="auto"/>
                    </w:rPr>
                    <w:t>粉尘</w:t>
                  </w:r>
                </w:p>
              </w:tc>
              <w:tc>
                <w:tcPr>
                  <w:tcW w:w="753"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季</w:t>
                  </w:r>
                  <w:r>
                    <w:rPr>
                      <w:rFonts w:hint="default" w:ascii="Times New Roman" w:hAnsi="Times New Roman" w:eastAsia="宋体" w:cs="Times New Roman"/>
                      <w:color w:val="auto"/>
                      <w:sz w:val="21"/>
                      <w:szCs w:val="21"/>
                      <w:highlight w:val="none"/>
                    </w:rPr>
                    <w:t>/次</w:t>
                  </w:r>
                </w:p>
              </w:tc>
              <w:tc>
                <w:tcPr>
                  <w:tcW w:w="1798" w:type="pct"/>
                  <w:vMerge w:val="restart"/>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颗粒物≤</w:t>
                  </w:r>
                  <w:r>
                    <w:rPr>
                      <w:rFonts w:hint="eastAsia" w:ascii="Times New Roman"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0mg/m</w:t>
                  </w:r>
                  <w:r>
                    <w:rPr>
                      <w:rFonts w:hint="default" w:ascii="Times New Roman" w:hAnsi="Times New Roman" w:eastAsia="宋体" w:cs="Times New Roman"/>
                      <w:color w:val="auto"/>
                      <w:sz w:val="21"/>
                      <w:szCs w:val="21"/>
                      <w:highlight w:val="none"/>
                      <w:vertAlign w:val="superscript"/>
                      <w:lang w:val="en-US" w:eastAsia="zh-CN"/>
                    </w:rPr>
                    <w:t>3</w:t>
                  </w:r>
                  <w:r>
                    <w:rPr>
                      <w:rFonts w:hint="eastAsia"/>
                      <w:color w:val="auto"/>
                      <w:szCs w:val="21"/>
                      <w:lang w:eastAsia="zh-CN"/>
                    </w:rPr>
                    <w:t>，</w:t>
                  </w:r>
                  <w:r>
                    <w:rPr>
                      <w:rFonts w:hint="eastAsia" w:ascii="Times New Roman" w:hAnsi="Times New Roman" w:eastAsia="宋体" w:cs="Times New Roman"/>
                      <w:color w:val="auto"/>
                      <w:sz w:val="21"/>
                      <w:szCs w:val="21"/>
                      <w:highlight w:val="none"/>
                      <w:lang w:val="en-US" w:eastAsia="zh-CN"/>
                    </w:rPr>
                    <w:t>排放速率</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3.5</w:t>
                  </w:r>
                  <w:r>
                    <w:rPr>
                      <w:rFonts w:hint="default" w:ascii="Times New Roman" w:hAnsi="Times New Roman" w:eastAsia="宋体" w:cs="Times New Roman"/>
                      <w:bCs/>
                      <w:color w:val="auto"/>
                      <w:sz w:val="21"/>
                      <w:szCs w:val="21"/>
                    </w:rPr>
                    <w:t>kg/h</w:t>
                  </w:r>
                  <w:r>
                    <w:rPr>
                      <w:rFonts w:hint="eastAsia"/>
                      <w:bCs/>
                      <w:color w:val="auto"/>
                      <w:sz w:val="21"/>
                      <w:szCs w:val="21"/>
                    </w:rPr>
                    <w:t>；二氧化硫</w:t>
                  </w:r>
                  <w:r>
                    <w:rPr>
                      <w:rFonts w:hint="eastAsia" w:ascii="Times New Roman" w:cs="Times New Roman"/>
                      <w:color w:val="auto"/>
                      <w:sz w:val="21"/>
                      <w:szCs w:val="21"/>
                      <w:highlight w:val="none"/>
                      <w:lang w:val="en-US" w:eastAsia="zh-CN"/>
                    </w:rPr>
                    <w:t>≤150mg/m</w:t>
                  </w:r>
                  <w:r>
                    <w:rPr>
                      <w:rFonts w:hint="eastAsia" w:ascii="Times New Roman" w:cs="Times New Roman"/>
                      <w:color w:val="auto"/>
                      <w:sz w:val="21"/>
                      <w:szCs w:val="21"/>
                      <w:highlight w:val="none"/>
                      <w:vertAlign w:val="superscript"/>
                      <w:lang w:val="en-US" w:eastAsia="zh-CN"/>
                    </w:rPr>
                    <w:t>3</w:t>
                  </w:r>
                  <w:r>
                    <w:rPr>
                      <w:rFonts w:hint="eastAsia" w:ascii="Times New Roman" w:cs="Times New Roman"/>
                      <w:color w:val="auto"/>
                      <w:sz w:val="21"/>
                      <w:szCs w:val="21"/>
                      <w:highlight w:val="none"/>
                      <w:lang w:val="en-US" w:eastAsia="zh-CN"/>
                    </w:rPr>
                    <w:t>；氮氧化物≤150mg/m</w:t>
                  </w:r>
                  <w:r>
                    <w:rPr>
                      <w:rFonts w:hint="eastAsia" w:ascii="Times New Roman" w:cs="Times New Roman"/>
                      <w:color w:val="auto"/>
                      <w:sz w:val="21"/>
                      <w:szCs w:val="21"/>
                      <w:highlight w:val="none"/>
                      <w:vertAlign w:val="superscript"/>
                      <w:lang w:val="en-US" w:eastAsia="zh-CN"/>
                    </w:rPr>
                    <w:t>3</w:t>
                  </w:r>
                </w:p>
              </w:tc>
              <w:tc>
                <w:tcPr>
                  <w:tcW w:w="611" w:type="pct"/>
                  <w:vMerge w:val="restar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委托有资质单位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5" w:type="pct"/>
                  <w:vMerge w:val="continue"/>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869"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2#生产线</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DA0</w:t>
                  </w:r>
                  <w:r>
                    <w:rPr>
                      <w:rFonts w:hint="eastAsia" w:cs="Times New Roman"/>
                      <w:color w:val="auto"/>
                      <w:sz w:val="21"/>
                      <w:szCs w:val="21"/>
                      <w:highlight w:val="none"/>
                      <w:lang w:val="en-US" w:eastAsia="zh-CN"/>
                    </w:rPr>
                    <w:t>02）</w:t>
                  </w:r>
                </w:p>
              </w:tc>
              <w:tc>
                <w:tcPr>
                  <w:tcW w:w="642" w:type="pct"/>
                  <w:vMerge w:val="continue"/>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p>
              </w:tc>
              <w:tc>
                <w:tcPr>
                  <w:tcW w:w="753"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rPr>
                  </w:pPr>
                </w:p>
              </w:tc>
              <w:tc>
                <w:tcPr>
                  <w:tcW w:w="1798" w:type="pct"/>
                  <w:vMerge w:val="continue"/>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611" w:type="pct"/>
                  <w:vMerge w:val="continue"/>
                  <w:noWrap w:val="0"/>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5" w:type="pct"/>
                  <w:vMerge w:val="continue"/>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869"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钢渣综合利用生产线</w:t>
                  </w:r>
                  <w:r>
                    <w:rPr>
                      <w:rFonts w:hint="default" w:ascii="Times New Roman" w:hAnsi="Times New Roman" w:cs="Times New Roman"/>
                      <w:color w:val="auto"/>
                      <w:sz w:val="21"/>
                      <w:szCs w:val="21"/>
                      <w:highlight w:val="none"/>
                      <w:lang w:val="en-US" w:eastAsia="zh-CN"/>
                    </w:rPr>
                    <w:t>排气筒</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DA0</w:t>
                  </w:r>
                  <w:r>
                    <w:rPr>
                      <w:rFonts w:hint="eastAsia" w:cs="Times New Roman"/>
                      <w:color w:val="auto"/>
                      <w:sz w:val="21"/>
                      <w:szCs w:val="21"/>
                      <w:highlight w:val="none"/>
                      <w:lang w:val="en-US" w:eastAsia="zh-CN"/>
                    </w:rPr>
                    <w:t>03）</w:t>
                  </w:r>
                </w:p>
              </w:tc>
              <w:tc>
                <w:tcPr>
                  <w:tcW w:w="642" w:type="pct"/>
                  <w:noWrap w:val="0"/>
                  <w:vAlign w:val="center"/>
                </w:tcPr>
                <w:p>
                  <w:pPr>
                    <w:pStyle w:val="71"/>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粉尘</w:t>
                  </w:r>
                </w:p>
              </w:tc>
              <w:tc>
                <w:tcPr>
                  <w:tcW w:w="753" w:type="pct"/>
                  <w:noWrap w:val="0"/>
                  <w:vAlign w:val="center"/>
                </w:tcPr>
                <w:p>
                  <w:pPr>
                    <w:pStyle w:val="71"/>
                    <w:adjustRightInd w:val="0"/>
                    <w:snapToGrid w:val="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sz w:val="21"/>
                      <w:szCs w:val="21"/>
                      <w:highlight w:val="none"/>
                      <w:lang w:val="en-US" w:eastAsia="zh-CN"/>
                    </w:rPr>
                    <w:t>季</w:t>
                  </w:r>
                  <w:r>
                    <w:rPr>
                      <w:rFonts w:hint="default" w:ascii="Times New Roman" w:hAnsi="Times New Roman" w:eastAsia="宋体" w:cs="Times New Roman"/>
                      <w:color w:val="auto"/>
                      <w:sz w:val="21"/>
                      <w:szCs w:val="21"/>
                      <w:highlight w:val="none"/>
                    </w:rPr>
                    <w:t>/次</w:t>
                  </w:r>
                </w:p>
              </w:tc>
              <w:tc>
                <w:tcPr>
                  <w:tcW w:w="1798" w:type="pct"/>
                  <w:vMerge w:val="continue"/>
                  <w:noWrap w:val="0"/>
                  <w:vAlign w:val="center"/>
                </w:tcPr>
                <w:p>
                  <w:pPr>
                    <w:pStyle w:val="71"/>
                    <w:adjustRightInd w:val="0"/>
                    <w:snapToGrid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611" w:type="pct"/>
                  <w:vMerge w:val="continue"/>
                  <w:noWrap w:val="0"/>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5" w:type="pct"/>
                  <w:vMerge w:val="continue"/>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869" w:type="pct"/>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厂界无组织粉尘</w:t>
                  </w:r>
                </w:p>
              </w:tc>
              <w:tc>
                <w:tcPr>
                  <w:tcW w:w="642" w:type="pct"/>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粉尘</w:t>
                  </w:r>
                </w:p>
              </w:tc>
              <w:tc>
                <w:tcPr>
                  <w:tcW w:w="753"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年/次</w:t>
                  </w:r>
                </w:p>
              </w:tc>
              <w:tc>
                <w:tcPr>
                  <w:tcW w:w="1798"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无组织废气执行</w:t>
                  </w:r>
                  <w:r>
                    <w:rPr>
                      <w:rFonts w:hint="default" w:ascii="Times New Roman" w:hAnsi="Times New Roman" w:eastAsia="宋体" w:cs="Times New Roman"/>
                      <w:color w:val="auto"/>
                      <w:sz w:val="21"/>
                      <w:szCs w:val="21"/>
                      <w:highlight w:val="none"/>
                      <w:lang w:val="en-US" w:eastAsia="zh-CN"/>
                    </w:rPr>
                    <w:t>企业边界监控点浓度限值≤</w:t>
                  </w: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c>
                <w:tcPr>
                  <w:tcW w:w="611" w:type="pct"/>
                  <w:vMerge w:val="continue"/>
                  <w:noWrap w:val="0"/>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5" w:type="pct"/>
                  <w:noWrap w:val="0"/>
                  <w:vAlign w:val="center"/>
                </w:tcPr>
                <w:p>
                  <w:pPr>
                    <w:pStyle w:val="71"/>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废水</w:t>
                  </w:r>
                </w:p>
              </w:tc>
              <w:tc>
                <w:tcPr>
                  <w:tcW w:w="869" w:type="pct"/>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生活污水排放口</w:t>
                  </w:r>
                </w:p>
              </w:tc>
              <w:tc>
                <w:tcPr>
                  <w:tcW w:w="642" w:type="pct"/>
                  <w:noWrap w:val="0"/>
                  <w:vAlign w:val="center"/>
                </w:tcPr>
                <w:p>
                  <w:pPr>
                    <w:pStyle w:val="71"/>
                    <w:adjustRightInd w:val="0"/>
                    <w:snapToGrid w:val="0"/>
                    <w:jc w:val="center"/>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eastAsia="宋体" w:cs="Times New Roman"/>
                      <w:color w:val="auto"/>
                      <w:sz w:val="21"/>
                      <w:szCs w:val="21"/>
                      <w:highlight w:val="none"/>
                      <w:lang w:val="en-US" w:eastAsia="zh-CN"/>
                    </w:rPr>
                    <w:t>pH、SS、COD、氨氮、总</w:t>
                  </w:r>
                  <w:r>
                    <w:rPr>
                      <w:rFonts w:hint="eastAsia" w:ascii="Times New Roman" w:hAnsi="Times New Roman" w:cs="Times New Roman"/>
                      <w:color w:val="auto"/>
                      <w:sz w:val="21"/>
                      <w:szCs w:val="21"/>
                      <w:highlight w:val="none"/>
                      <w:lang w:val="en-US" w:eastAsia="zh-CN"/>
                    </w:rPr>
                    <w:t>氮</w:t>
                  </w:r>
                  <w:r>
                    <w:rPr>
                      <w:rFonts w:hint="default" w:ascii="Times New Roman" w:hAnsi="Times New Roman" w:eastAsia="宋体" w:cs="Times New Roman"/>
                      <w:color w:val="auto"/>
                      <w:sz w:val="21"/>
                      <w:szCs w:val="21"/>
                      <w:highlight w:val="none"/>
                      <w:lang w:val="en-US" w:eastAsia="zh-CN"/>
                    </w:rPr>
                    <w:t>、总</w:t>
                  </w:r>
                  <w:r>
                    <w:rPr>
                      <w:rFonts w:hint="eastAsia" w:ascii="Times New Roman" w:hAnsi="Times New Roman" w:cs="Times New Roman"/>
                      <w:color w:val="auto"/>
                      <w:sz w:val="21"/>
                      <w:szCs w:val="21"/>
                      <w:highlight w:val="none"/>
                      <w:lang w:val="en-US" w:eastAsia="zh-CN"/>
                    </w:rPr>
                    <w:t>磷</w:t>
                  </w:r>
                </w:p>
              </w:tc>
              <w:tc>
                <w:tcPr>
                  <w:tcW w:w="753" w:type="pct"/>
                  <w:noWrap w:val="0"/>
                  <w:vAlign w:val="center"/>
                </w:tcPr>
                <w:p>
                  <w:pPr>
                    <w:pStyle w:val="71"/>
                    <w:adjustRightInd w:val="0"/>
                    <w:snapToGrid w:val="0"/>
                    <w:jc w:val="center"/>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eastAsia="宋体" w:cs="Times New Roman"/>
                      <w:color w:val="auto"/>
                      <w:sz w:val="21"/>
                      <w:szCs w:val="21"/>
                      <w:highlight w:val="none"/>
                      <w:lang w:val="en-US" w:eastAsia="zh-CN"/>
                    </w:rPr>
                    <w:t>季</w:t>
                  </w:r>
                  <w:r>
                    <w:rPr>
                      <w:rFonts w:hint="default" w:ascii="Times New Roman" w:hAnsi="Times New Roman" w:eastAsia="宋体" w:cs="Times New Roman"/>
                      <w:color w:val="auto"/>
                      <w:sz w:val="21"/>
                      <w:szCs w:val="21"/>
                      <w:highlight w:val="none"/>
                    </w:rPr>
                    <w:t>/次</w:t>
                  </w:r>
                </w:p>
              </w:tc>
              <w:tc>
                <w:tcPr>
                  <w:tcW w:w="1798"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pH6~9，COD≤360mg/L，SS≤300mg/L，氨氮≤35mg/L，总</w:t>
                  </w:r>
                  <w:r>
                    <w:rPr>
                      <w:rFonts w:hint="eastAsia" w:ascii="Times New Roman" w:hAnsi="Times New Roman" w:cs="Times New Roman"/>
                      <w:color w:val="auto"/>
                      <w:sz w:val="21"/>
                      <w:szCs w:val="21"/>
                      <w:highlight w:val="none"/>
                      <w:lang w:val="en-US" w:eastAsia="zh-CN"/>
                    </w:rPr>
                    <w:t>氮</w:t>
                  </w:r>
                  <w:r>
                    <w:rPr>
                      <w:rFonts w:hint="default" w:ascii="Times New Roman" w:hAnsi="Times New Roman" w:eastAsia="宋体" w:cs="Times New Roman"/>
                      <w:color w:val="auto"/>
                      <w:sz w:val="21"/>
                      <w:szCs w:val="21"/>
                      <w:highlight w:val="none"/>
                      <w:lang w:val="en-US" w:eastAsia="zh-CN"/>
                    </w:rPr>
                    <w:t>≤45mg/L，总</w:t>
                  </w:r>
                  <w:r>
                    <w:rPr>
                      <w:rFonts w:hint="eastAsia" w:ascii="Times New Roman" w:hAnsi="Times New Roman" w:cs="Times New Roman"/>
                      <w:color w:val="auto"/>
                      <w:sz w:val="21"/>
                      <w:szCs w:val="21"/>
                      <w:highlight w:val="none"/>
                      <w:lang w:val="en-US" w:eastAsia="zh-CN"/>
                    </w:rPr>
                    <w:t>磷</w:t>
                  </w:r>
                  <w:r>
                    <w:rPr>
                      <w:rFonts w:hint="default" w:ascii="Times New Roman" w:hAnsi="Times New Roman" w:eastAsia="宋体" w:cs="Times New Roman"/>
                      <w:color w:val="auto"/>
                      <w:sz w:val="21"/>
                      <w:szCs w:val="21"/>
                      <w:highlight w:val="none"/>
                      <w:lang w:val="en-US" w:eastAsia="zh-CN"/>
                    </w:rPr>
                    <w:t>≤3.5mg/L</w:t>
                  </w:r>
                </w:p>
              </w:tc>
              <w:tc>
                <w:tcPr>
                  <w:tcW w:w="611" w:type="pct"/>
                  <w:vMerge w:val="continue"/>
                  <w:noWrap w:val="0"/>
                  <w:vAlign w:val="center"/>
                </w:tcPr>
                <w:p>
                  <w:pP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25"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869"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厂界外1m</w:t>
                  </w:r>
                </w:p>
              </w:tc>
              <w:tc>
                <w:tcPr>
                  <w:tcW w:w="642"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昼、夜</w:t>
                  </w:r>
                  <w:r>
                    <w:rPr>
                      <w:rFonts w:hint="default" w:ascii="Times New Roman" w:hAnsi="Times New Roman" w:eastAsia="宋体" w:cs="Times New Roman"/>
                      <w:color w:val="auto"/>
                      <w:kern w:val="0"/>
                      <w:sz w:val="21"/>
                      <w:szCs w:val="21"/>
                      <w:highlight w:val="none"/>
                    </w:rPr>
                    <w:t>等效声级</w:t>
                  </w:r>
                </w:p>
              </w:tc>
              <w:tc>
                <w:tcPr>
                  <w:tcW w:w="753"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1次/季</w:t>
                  </w:r>
                </w:p>
              </w:tc>
              <w:tc>
                <w:tcPr>
                  <w:tcW w:w="1798" w:type="pct"/>
                  <w:noWrap w:val="0"/>
                  <w:vAlign w:val="center"/>
                </w:tcPr>
                <w:p>
                  <w:pPr>
                    <w:pStyle w:val="71"/>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b w:val="0"/>
                      <w:bCs w:val="0"/>
                      <w:color w:val="auto"/>
                      <w:sz w:val="21"/>
                      <w:szCs w:val="21"/>
                      <w:lang w:val="en-US" w:eastAsia="zh-CN"/>
                    </w:rPr>
                    <w:t>昼间≤</w:t>
                  </w:r>
                  <w:r>
                    <w:rPr>
                      <w:rFonts w:hint="eastAsia" w:ascii="Times New Roman" w:hAnsi="Times New Roman" w:cs="Times New Roman"/>
                      <w:b w:val="0"/>
                      <w:bCs w:val="0"/>
                      <w:color w:val="auto"/>
                      <w:sz w:val="21"/>
                      <w:szCs w:val="21"/>
                      <w:lang w:val="en-US" w:eastAsia="zh-CN"/>
                    </w:rPr>
                    <w:t>65</w:t>
                  </w:r>
                  <w:r>
                    <w:rPr>
                      <w:rFonts w:hint="default" w:ascii="Times New Roman" w:hAnsi="Times New Roman" w:cs="Times New Roman"/>
                      <w:b w:val="0"/>
                      <w:bCs w:val="0"/>
                      <w:color w:val="auto"/>
                      <w:sz w:val="21"/>
                      <w:szCs w:val="21"/>
                      <w:lang w:val="en-US" w:eastAsia="zh-CN"/>
                    </w:rPr>
                    <w:t>dB，夜间≤55dB</w:t>
                  </w:r>
                </w:p>
              </w:tc>
              <w:tc>
                <w:tcPr>
                  <w:tcW w:w="611" w:type="pct"/>
                  <w:vMerge w:val="continue"/>
                  <w:noWrap w:val="0"/>
                  <w:vAlign w:val="center"/>
                </w:tcPr>
                <w:p>
                  <w:pPr>
                    <w:jc w:val="center"/>
                    <w:rPr>
                      <w:rFonts w:hint="default" w:ascii="Times New Roman" w:hAnsi="Times New Roman" w:eastAsia="宋体" w:cs="Times New Roman"/>
                      <w:color w:val="auto"/>
                      <w:sz w:val="21"/>
                      <w:szCs w:val="21"/>
                      <w:highlight w:val="none"/>
                    </w:rPr>
                  </w:pPr>
                </w:p>
              </w:tc>
            </w:tr>
          </w:tbl>
          <w:p>
            <w:pPr>
              <w:pStyle w:val="10"/>
              <w:keepNext w:val="0"/>
              <w:keepLines w:val="0"/>
              <w:pageBreakBefore w:val="0"/>
              <w:widowControl w:val="0"/>
              <w:kinsoku/>
              <w:wordWrap/>
              <w:overflowPunct/>
              <w:topLinePunct w:val="0"/>
              <w:autoSpaceDE/>
              <w:autoSpaceDN/>
              <w:bidi w:val="0"/>
              <w:adjustRightInd/>
              <w:snapToGrid w:val="0"/>
              <w:spacing w:before="188" w:beforeLines="50" w:line="360" w:lineRule="auto"/>
              <w:ind w:firstLine="480" w:firstLineChars="200"/>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（4）环境保护“三同时”验收一览表</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cs="Times New Roman"/>
                <w:color w:val="auto"/>
                <w:sz w:val="24"/>
                <w:highlight w:val="none"/>
                <w:lang w:val="en-US" w:eastAsia="zh-CN"/>
              </w:rPr>
            </w:pPr>
            <w:r>
              <w:rPr>
                <w:rFonts w:hint="eastAsia" w:cs="Times New Roman"/>
                <w:color w:val="auto"/>
                <w:sz w:val="24"/>
                <w:highlight w:val="none"/>
                <w:lang w:val="en-US" w:eastAsia="zh-CN"/>
              </w:rPr>
              <w:t>技改</w:t>
            </w:r>
            <w:r>
              <w:rPr>
                <w:rFonts w:hint="default" w:ascii="Times New Roman" w:hAnsi="Times New Roman" w:cs="Times New Roman"/>
                <w:color w:val="auto"/>
                <w:sz w:val="24"/>
                <w:highlight w:val="none"/>
                <w:lang w:val="en-US" w:eastAsia="zh-CN"/>
              </w:rPr>
              <w:t>项目工程环保设施竣工验收内容及要求详见表5.1-4。</w:t>
            </w:r>
          </w:p>
          <w:p>
            <w:pPr>
              <w:pStyle w:val="10"/>
              <w:keepNext w:val="0"/>
              <w:keepLines w:val="0"/>
              <w:pageBreakBefore w:val="0"/>
              <w:kinsoku/>
              <w:wordWrap/>
              <w:overflowPunct/>
              <w:topLinePunct w:val="0"/>
              <w:bidi w:val="0"/>
              <w:ind w:firstLine="480" w:firstLineChars="200"/>
              <w:textAlignment w:val="auto"/>
              <w:outlineLvl w:val="9"/>
              <w:rPr>
                <w:rFonts w:hint="default" w:ascii="Times New Roman" w:hAnsi="Times New Roman" w:cs="Times New Roman"/>
                <w:color w:val="0000FF"/>
                <w:sz w:val="24"/>
                <w:highlight w:val="none"/>
                <w:lang w:val="en-US" w:eastAsia="zh-CN"/>
              </w:rPr>
            </w:pPr>
          </w:p>
          <w:p>
            <w:pPr>
              <w:pStyle w:val="10"/>
              <w:keepNext w:val="0"/>
              <w:keepLines w:val="0"/>
              <w:pageBreakBefore w:val="0"/>
              <w:kinsoku/>
              <w:wordWrap/>
              <w:overflowPunct/>
              <w:topLinePunct w:val="0"/>
              <w:bidi w:val="0"/>
              <w:ind w:firstLine="480" w:firstLineChars="200"/>
              <w:textAlignment w:val="auto"/>
              <w:outlineLvl w:val="9"/>
              <w:rPr>
                <w:rFonts w:hint="default" w:ascii="Times New Roman" w:hAnsi="Times New Roman" w:cs="Times New Roman"/>
                <w:color w:val="0000FF"/>
                <w:sz w:val="24"/>
                <w:highlight w:val="none"/>
                <w:lang w:val="en-US" w:eastAsia="zh-CN"/>
              </w:rPr>
            </w:pPr>
          </w:p>
          <w:p>
            <w:pPr>
              <w:pStyle w:val="10"/>
              <w:keepNext w:val="0"/>
              <w:keepLines w:val="0"/>
              <w:pageBreakBefore w:val="0"/>
              <w:kinsoku/>
              <w:wordWrap/>
              <w:overflowPunct/>
              <w:topLinePunct w:val="0"/>
              <w:bidi w:val="0"/>
              <w:ind w:firstLine="480" w:firstLineChars="200"/>
              <w:textAlignment w:val="auto"/>
              <w:outlineLvl w:val="9"/>
              <w:rPr>
                <w:rFonts w:hint="default" w:ascii="Times New Roman" w:hAnsi="Times New Roman" w:cs="Times New Roman"/>
                <w:color w:val="0000FF"/>
                <w:sz w:val="24"/>
                <w:highlight w:val="none"/>
                <w:lang w:val="en-US" w:eastAsia="zh-CN"/>
              </w:rPr>
            </w:pPr>
          </w:p>
          <w:p>
            <w:pPr>
              <w:pStyle w:val="10"/>
              <w:keepNext w:val="0"/>
              <w:keepLines w:val="0"/>
              <w:pageBreakBefore w:val="0"/>
              <w:kinsoku/>
              <w:wordWrap/>
              <w:overflowPunct/>
              <w:topLinePunct w:val="0"/>
              <w:bidi w:val="0"/>
              <w:ind w:firstLine="480" w:firstLineChars="200"/>
              <w:textAlignment w:val="auto"/>
              <w:outlineLvl w:val="9"/>
              <w:rPr>
                <w:rFonts w:hint="default" w:ascii="Times New Roman" w:hAnsi="Times New Roman" w:cs="Times New Roman"/>
                <w:color w:val="0000FF"/>
                <w:sz w:val="24"/>
                <w:highlight w:val="none"/>
                <w:lang w:val="en-US" w:eastAsia="zh-CN"/>
              </w:rPr>
            </w:pPr>
          </w:p>
          <w:p>
            <w:pPr>
              <w:pStyle w:val="10"/>
              <w:keepNext w:val="0"/>
              <w:keepLines w:val="0"/>
              <w:pageBreakBefore w:val="0"/>
              <w:kinsoku/>
              <w:wordWrap/>
              <w:overflowPunct/>
              <w:topLinePunct w:val="0"/>
              <w:bidi w:val="0"/>
              <w:ind w:firstLine="480" w:firstLineChars="200"/>
              <w:textAlignment w:val="auto"/>
              <w:outlineLvl w:val="9"/>
              <w:rPr>
                <w:rFonts w:hint="default" w:ascii="Times New Roman" w:hAnsi="Times New Roman" w:cs="Times New Roman"/>
                <w:color w:val="0000FF"/>
                <w:sz w:val="24"/>
                <w:highlight w:val="none"/>
                <w:lang w:val="en-US" w:eastAsia="zh-CN"/>
              </w:rPr>
            </w:pPr>
          </w:p>
        </w:tc>
      </w:tr>
    </w:tbl>
    <w:p>
      <w:pPr>
        <w:pStyle w:val="10"/>
        <w:keepNext w:val="0"/>
        <w:keepLines w:val="0"/>
        <w:pageBreakBefore w:val="0"/>
        <w:kinsoku/>
        <w:wordWrap/>
        <w:overflowPunct/>
        <w:topLinePunct w:val="0"/>
        <w:bidi w:val="0"/>
        <w:ind w:firstLine="480" w:firstLineChars="200"/>
        <w:textAlignment w:val="auto"/>
        <w:outlineLvl w:val="9"/>
        <w:rPr>
          <w:rFonts w:hint="default" w:ascii="Times New Roman" w:hAnsi="Times New Roman" w:cs="Times New Roman"/>
          <w:color w:val="0000FF"/>
          <w:sz w:val="24"/>
          <w:lang w:eastAsia="zh-CN"/>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73" w:charSpace="0"/>
        </w:sectPr>
      </w:pPr>
    </w:p>
    <w:p>
      <w:pPr>
        <w:pStyle w:val="10"/>
        <w:keepNext w:val="0"/>
        <w:keepLines w:val="0"/>
        <w:pageBreakBefore w:val="0"/>
        <w:kinsoku/>
        <w:wordWrap/>
        <w:overflowPunct/>
        <w:topLinePunct w:val="0"/>
        <w:bidi w:val="0"/>
        <w:ind w:firstLine="0"/>
        <w:jc w:val="center"/>
        <w:textAlignment w:val="auto"/>
        <w:outlineLvl w:val="9"/>
        <w:rPr>
          <w:rFonts w:hint="default" w:ascii="Times New Roman" w:hAnsi="Times New Roman" w:eastAsia="宋体" w:cs="Times New Roman"/>
          <w:b/>
          <w:bCs/>
          <w:color w:val="auto"/>
          <w:sz w:val="24"/>
          <w:szCs w:val="24"/>
          <w:highlight w:val="none"/>
          <w:lang w:val="en-US" w:eastAsia="zh-CN"/>
        </w:rPr>
      </w:pPr>
      <w:bookmarkStart w:id="272" w:name="_Toc767"/>
      <w:r>
        <w:rPr>
          <w:rFonts w:hint="default" w:ascii="Times New Roman" w:hAnsi="Times New Roman" w:eastAsia="宋体" w:cs="Times New Roman"/>
          <w:b/>
          <w:bCs/>
          <w:color w:val="auto"/>
          <w:sz w:val="24"/>
          <w:szCs w:val="24"/>
          <w:highlight w:val="none"/>
          <w:lang w:val="en-US" w:eastAsia="zh-CN"/>
        </w:rPr>
        <w:t xml:space="preserve">表5.1-4  </w:t>
      </w:r>
      <w:r>
        <w:rPr>
          <w:rFonts w:hint="eastAsia" w:ascii="Times New Roman" w:hAnsi="Times New Roman" w:eastAsia="宋体" w:cs="Times New Roman"/>
          <w:b/>
          <w:bCs/>
          <w:color w:val="auto"/>
          <w:sz w:val="24"/>
          <w:szCs w:val="24"/>
          <w:highlight w:val="none"/>
          <w:lang w:val="en-US" w:eastAsia="zh-CN"/>
        </w:rPr>
        <w:t>技改</w:t>
      </w:r>
      <w:r>
        <w:rPr>
          <w:rFonts w:hint="default" w:ascii="Times New Roman" w:hAnsi="Times New Roman" w:eastAsia="宋体" w:cs="Times New Roman"/>
          <w:b/>
          <w:bCs/>
          <w:color w:val="auto"/>
          <w:sz w:val="24"/>
          <w:szCs w:val="24"/>
          <w:highlight w:val="none"/>
          <w:lang w:val="en-US" w:eastAsia="zh-CN"/>
        </w:rPr>
        <w:t>项目环保设施竣工验收内容及要求一览表</w:t>
      </w:r>
      <w:bookmarkEnd w:id="272"/>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348"/>
        <w:gridCol w:w="1679"/>
        <w:gridCol w:w="1214"/>
        <w:gridCol w:w="2933"/>
        <w:gridCol w:w="2234"/>
        <w:gridCol w:w="3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项目</w:t>
            </w:r>
          </w:p>
        </w:tc>
        <w:tc>
          <w:tcPr>
            <w:tcW w:w="50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污染源</w:t>
            </w:r>
          </w:p>
        </w:tc>
        <w:tc>
          <w:tcPr>
            <w:tcW w:w="624"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验收点</w:t>
            </w:r>
          </w:p>
        </w:tc>
        <w:tc>
          <w:tcPr>
            <w:tcW w:w="109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治理措施</w:t>
            </w:r>
          </w:p>
        </w:tc>
        <w:tc>
          <w:tcPr>
            <w:tcW w:w="83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验收内容</w:t>
            </w:r>
          </w:p>
        </w:tc>
        <w:tc>
          <w:tcPr>
            <w:tcW w:w="126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vMerge w:val="restar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废气</w:t>
            </w:r>
          </w:p>
        </w:tc>
        <w:tc>
          <w:tcPr>
            <w:tcW w:w="501"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钢渣综合利用项目废气（G1</w:t>
            </w:r>
            <w:r>
              <w:rPr>
                <w:rFonts w:hint="default" w:ascii="Times New Roman" w:hAnsi="Times New Roman" w:cs="Times New Roman"/>
                <w:color w:val="auto"/>
                <w:highlight w:val="none"/>
                <w:lang w:val="en-US" w:eastAsia="zh-CN"/>
              </w:rPr>
              <w:t>）</w:t>
            </w:r>
          </w:p>
        </w:tc>
        <w:tc>
          <w:tcPr>
            <w:tcW w:w="624"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DA0</w:t>
            </w:r>
            <w:r>
              <w:rPr>
                <w:rFonts w:hint="eastAsia" w:cs="Times New Roman"/>
                <w:b w:val="0"/>
                <w:bCs w:val="0"/>
                <w:color w:val="auto"/>
                <w:sz w:val="21"/>
                <w:szCs w:val="21"/>
                <w:highlight w:val="none"/>
                <w:lang w:val="en-US" w:eastAsia="zh-CN"/>
              </w:rPr>
              <w:t>03</w:t>
            </w:r>
            <w:r>
              <w:rPr>
                <w:rFonts w:hint="default" w:ascii="Times New Roman" w:hAnsi="Times New Roman" w:cs="Times New Roman"/>
                <w:b w:val="0"/>
                <w:bCs w:val="0"/>
                <w:color w:val="auto"/>
                <w:sz w:val="21"/>
                <w:szCs w:val="21"/>
                <w:highlight w:val="none"/>
              </w:rPr>
              <w:t>排气筒出口</w:t>
            </w:r>
          </w:p>
        </w:tc>
        <w:tc>
          <w:tcPr>
            <w:tcW w:w="1090"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both"/>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各自</w:t>
            </w:r>
            <w:r>
              <w:rPr>
                <w:rFonts w:hint="eastAsia" w:cs="Times New Roman"/>
                <w:color w:val="auto"/>
                <w:sz w:val="21"/>
                <w:szCs w:val="21"/>
                <w:highlight w:val="none"/>
                <w:lang w:eastAsia="zh-CN"/>
              </w:rPr>
              <w:t>集气</w:t>
            </w:r>
            <w:r>
              <w:rPr>
                <w:rFonts w:hint="eastAsia" w:ascii="Times New Roman" w:hAnsi="Times New Roman" w:cs="Times New Roman"/>
                <w:color w:val="auto"/>
                <w:sz w:val="21"/>
                <w:szCs w:val="21"/>
                <w:highlight w:val="none"/>
                <w:lang w:val="en-US" w:eastAsia="zh-CN"/>
              </w:rPr>
              <w:t>后</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经布袋除尘器处理后，通过1</w:t>
            </w:r>
            <w:r>
              <w:rPr>
                <w:rFonts w:hint="eastAsia" w:cs="Times New Roman"/>
                <w:color w:val="auto"/>
                <w:sz w:val="21"/>
                <w:szCs w:val="21"/>
                <w:highlight w:val="none"/>
                <w:lang w:val="en-US" w:eastAsia="zh-CN"/>
              </w:rPr>
              <w:t>根</w:t>
            </w:r>
            <w:r>
              <w:rPr>
                <w:rFonts w:hint="default" w:ascii="Times New Roman" w:hAnsi="Times New Roman" w:cs="Times New Roman"/>
                <w:color w:val="auto"/>
                <w:sz w:val="21"/>
                <w:szCs w:val="21"/>
                <w:highlight w:val="none"/>
                <w:lang w:eastAsia="zh-CN"/>
              </w:rPr>
              <w:t>15m高排气筒排放（</w:t>
            </w:r>
            <w:r>
              <w:rPr>
                <w:rFonts w:hint="default" w:ascii="Times New Roman" w:hAnsi="Times New Roman" w:cs="Times New Roman"/>
                <w:color w:val="auto"/>
                <w:sz w:val="21"/>
                <w:szCs w:val="21"/>
                <w:highlight w:val="none"/>
                <w:lang w:val="en-US" w:eastAsia="zh-CN"/>
              </w:rPr>
              <w:t>DA0</w:t>
            </w:r>
            <w:r>
              <w:rPr>
                <w:rFonts w:hint="eastAsia" w:cs="Times New Roman"/>
                <w:color w:val="auto"/>
                <w:sz w:val="21"/>
                <w:szCs w:val="21"/>
                <w:highlight w:val="none"/>
                <w:lang w:val="en-US" w:eastAsia="zh-CN"/>
              </w:rPr>
              <w:t>03</w:t>
            </w:r>
            <w:r>
              <w:rPr>
                <w:rFonts w:hint="default" w:ascii="Times New Roman" w:hAnsi="Times New Roman" w:cs="Times New Roman"/>
                <w:color w:val="auto"/>
                <w:sz w:val="21"/>
                <w:szCs w:val="21"/>
                <w:highlight w:val="none"/>
                <w:lang w:eastAsia="zh-CN"/>
              </w:rPr>
              <w:t>）</w:t>
            </w:r>
          </w:p>
        </w:tc>
        <w:tc>
          <w:tcPr>
            <w:tcW w:w="83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15m排气筒1根，达标排放</w:t>
            </w:r>
          </w:p>
        </w:tc>
        <w:tc>
          <w:tcPr>
            <w:tcW w:w="1262" w:type="pct"/>
            <w:noWrap w:val="0"/>
            <w:tcMar>
              <w:top w:w="0" w:type="dxa"/>
              <w:left w:w="6" w:type="dxa"/>
              <w:bottom w:w="0" w:type="dxa"/>
              <w:right w:w="6" w:type="dxa"/>
            </w:tcMar>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cs="Times New Roman"/>
                <w:b w:val="0"/>
                <w:bCs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《大气污染物综合排放标准》</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1"/>
                <w:szCs w:val="21"/>
                <w:highlight w:val="none"/>
                <w:lang w:val="en-US" w:eastAsia="zh-CN"/>
              </w:rPr>
              <w:t>GB16297-1996</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1"/>
                <w:szCs w:val="21"/>
                <w:highlight w:val="none"/>
                <w:lang w:val="en-US" w:eastAsia="zh-CN"/>
              </w:rPr>
              <w:t>表2中二级标准（颗粒物≤</w:t>
            </w:r>
            <w:r>
              <w:rPr>
                <w:rFonts w:hint="eastAsia" w:ascii="Times New Roman"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b w:val="0"/>
                <w:bCs w:val="0"/>
                <w:color w:val="auto"/>
                <w:sz w:val="21"/>
                <w:szCs w:val="21"/>
                <w:highlight w:val="none"/>
              </w:rPr>
              <w:t>，</w:t>
            </w:r>
            <w:r>
              <w:rPr>
                <w:rFonts w:hint="eastAsia" w:ascii="Times New Roman" w:hAnsi="Times New Roman" w:eastAsia="宋体" w:cs="Times New Roman"/>
                <w:color w:val="auto"/>
                <w:sz w:val="21"/>
                <w:szCs w:val="21"/>
                <w:highlight w:val="none"/>
                <w:lang w:val="en-US" w:eastAsia="zh-CN"/>
              </w:rPr>
              <w:t>排放速率</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3.5</w:t>
            </w:r>
            <w:r>
              <w:rPr>
                <w:rFonts w:hint="default" w:ascii="Times New Roman" w:hAnsi="Times New Roman" w:eastAsia="宋体" w:cs="Times New Roman"/>
                <w:bCs/>
                <w:color w:val="auto"/>
                <w:sz w:val="21"/>
                <w:szCs w:val="21"/>
              </w:rPr>
              <w:t>kg/h</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0000FF"/>
                <w:sz w:val="21"/>
                <w:szCs w:val="21"/>
                <w:highlight w:val="none"/>
              </w:rPr>
            </w:pPr>
          </w:p>
        </w:tc>
        <w:tc>
          <w:tcPr>
            <w:tcW w:w="50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无组织废气</w:t>
            </w:r>
          </w:p>
        </w:tc>
        <w:tc>
          <w:tcPr>
            <w:tcW w:w="624"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颗粒物</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1090"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both"/>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cs="Times New Roman"/>
                <w:color w:val="auto"/>
                <w:szCs w:val="21"/>
                <w:highlight w:val="none"/>
                <w:lang w:val="en-US" w:eastAsia="zh-CN"/>
              </w:rPr>
              <w:t>加强车间通风</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洒水抑尘</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运输过程使用车载篷布遮盖</w:t>
            </w:r>
          </w:p>
        </w:tc>
        <w:tc>
          <w:tcPr>
            <w:tcW w:w="83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cs="Times New Roman"/>
                <w:b w:val="0"/>
                <w:bCs w:val="0"/>
                <w:color w:val="auto"/>
                <w:sz w:val="21"/>
                <w:szCs w:val="21"/>
                <w:highlight w:val="none"/>
              </w:rPr>
            </w:pPr>
            <w:r>
              <w:rPr>
                <w:rFonts w:hint="default" w:ascii="Times New Roman" w:hAnsi="Times New Roman" w:cs="Times New Roman"/>
                <w:color w:val="auto"/>
                <w:szCs w:val="21"/>
                <w:highlight w:val="none"/>
                <w:lang w:val="en-US" w:eastAsia="zh-CN"/>
              </w:rPr>
              <w:t>加强车间通风</w:t>
            </w:r>
            <w:r>
              <w:rPr>
                <w:rFonts w:hint="eastAsia"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洒水抑尘</w:t>
            </w:r>
            <w:r>
              <w:rPr>
                <w:rFonts w:hint="default"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运输过程使用车载篷布遮盖</w:t>
            </w:r>
          </w:p>
        </w:tc>
        <w:tc>
          <w:tcPr>
            <w:tcW w:w="1262" w:type="pct"/>
            <w:noWrap w:val="0"/>
            <w:tcMar>
              <w:top w:w="0" w:type="dxa"/>
              <w:left w:w="6" w:type="dxa"/>
              <w:bottom w:w="0" w:type="dxa"/>
              <w:right w:w="6" w:type="dxa"/>
            </w:tcMar>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废水</w:t>
            </w:r>
          </w:p>
        </w:tc>
        <w:tc>
          <w:tcPr>
            <w:tcW w:w="50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生活污水</w:t>
            </w:r>
          </w:p>
        </w:tc>
        <w:tc>
          <w:tcPr>
            <w:tcW w:w="624" w:type="pct"/>
            <w:noWrap w:val="0"/>
            <w:tcMar>
              <w:top w:w="0" w:type="dxa"/>
              <w:left w:w="6" w:type="dxa"/>
              <w:bottom w:w="0" w:type="dxa"/>
              <w:right w:w="6" w:type="dxa"/>
            </w:tcMar>
            <w:vAlign w:val="center"/>
          </w:tcPr>
          <w:p>
            <w:pPr>
              <w:pStyle w:val="70"/>
              <w:jc w:val="both"/>
              <w:rPr>
                <w:rFonts w:hint="default" w:ascii="Times New Roman" w:hAnsi="Times New Roman" w:eastAsia="Times New Roman" w:cs="Times New Roman"/>
                <w:color w:val="auto"/>
                <w:sz w:val="21"/>
                <w:szCs w:val="22"/>
                <w:u w:val="single"/>
                <w:lang w:val="en-US" w:eastAsia="zh-CN" w:bidi="ar-SA"/>
              </w:rPr>
            </w:pPr>
            <w:r>
              <w:rPr>
                <w:rFonts w:hint="eastAsia" w:cs="Times New Roman"/>
                <w:color w:val="auto"/>
                <w:szCs w:val="21"/>
                <w:lang w:val="en-US" w:eastAsia="zh-CN"/>
              </w:rPr>
              <w:t>pH、</w:t>
            </w:r>
            <w:r>
              <w:rPr>
                <w:rFonts w:hint="eastAsia" w:ascii="Times New Roman" w:hAnsi="Times New Roman" w:eastAsia="宋体" w:cs="Times New Roman"/>
                <w:color w:val="auto"/>
                <w:kern w:val="2"/>
                <w:sz w:val="21"/>
                <w:szCs w:val="21"/>
                <w:highlight w:val="none"/>
                <w:lang w:val="en-US" w:eastAsia="zh-CN" w:bidi="ar-SA"/>
              </w:rPr>
              <w:t>SS、COD、</w:t>
            </w:r>
            <w:r>
              <w:rPr>
                <w:rFonts w:hint="default" w:ascii="Times New Roman" w:hAnsi="Times New Roman" w:eastAsia="宋体" w:cs="Times New Roman"/>
                <w:color w:val="auto"/>
                <w:kern w:val="2"/>
                <w:sz w:val="21"/>
                <w:szCs w:val="21"/>
                <w:highlight w:val="none"/>
                <w:lang w:val="en-US" w:eastAsia="zh-CN" w:bidi="ar-SA"/>
              </w:rPr>
              <w:t>氨氮、总铬、总镍、总铅</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生活污水排放口</w:t>
            </w:r>
          </w:p>
        </w:tc>
        <w:tc>
          <w:tcPr>
            <w:tcW w:w="1090"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依托现有工程</w:t>
            </w:r>
            <w:r>
              <w:rPr>
                <w:rFonts w:hint="eastAsia" w:ascii="Times New Roman" w:hAnsi="Times New Roman" w:eastAsia="宋体" w:cs="Times New Roman"/>
                <w:color w:val="auto"/>
                <w:szCs w:val="21"/>
                <w:highlight w:val="none"/>
                <w:lang w:val="en-US" w:eastAsia="zh-CN"/>
              </w:rPr>
              <w:t>厂区</w:t>
            </w:r>
            <w:r>
              <w:rPr>
                <w:rFonts w:hint="default" w:ascii="Times New Roman" w:hAnsi="Times New Roman" w:eastAsia="宋体" w:cs="Times New Roman"/>
                <w:color w:val="auto"/>
                <w:szCs w:val="21"/>
                <w:highlight w:val="none"/>
                <w:lang w:val="en-US" w:eastAsia="zh-CN"/>
              </w:rPr>
              <w:t>生活污水处置设施，经化粪池处理后排入</w:t>
            </w:r>
            <w:r>
              <w:rPr>
                <w:rFonts w:hint="eastAsia" w:ascii="Times New Roman" w:hAnsi="Times New Roman" w:eastAsia="宋体" w:cs="Times New Roman"/>
                <w:color w:val="auto"/>
                <w:szCs w:val="21"/>
                <w:highlight w:val="none"/>
                <w:lang w:val="en-US" w:eastAsia="zh-CN"/>
              </w:rPr>
              <w:t>福安市湾坞西片区污水处理厂</w:t>
            </w:r>
          </w:p>
        </w:tc>
        <w:tc>
          <w:tcPr>
            <w:tcW w:w="830"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both"/>
              <w:textAlignment w:val="auto"/>
              <w:outlineLvl w:val="9"/>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生活污水化粪池、排水管网</w:t>
            </w:r>
          </w:p>
        </w:tc>
        <w:tc>
          <w:tcPr>
            <w:tcW w:w="1262"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both"/>
              <w:textAlignment w:val="auto"/>
              <w:outlineLvl w:val="9"/>
              <w:rPr>
                <w:rFonts w:hint="default" w:ascii="Times New Roman" w:hAnsi="Times New Roman" w:cs="Times New Roman"/>
                <w:b w:val="0"/>
                <w:bCs w:val="0"/>
                <w:color w:val="auto"/>
                <w:sz w:val="21"/>
                <w:szCs w:val="21"/>
                <w:highlight w:val="yellow"/>
              </w:rPr>
            </w:pPr>
            <w:r>
              <w:rPr>
                <w:rFonts w:hint="eastAsia" w:ascii="Times New Roman" w:hAnsi="Times New Roman" w:eastAsia="宋体" w:cs="Times New Roman"/>
                <w:color w:val="auto"/>
                <w:sz w:val="21"/>
                <w:szCs w:val="21"/>
                <w:highlight w:val="none"/>
                <w:lang w:val="en-US" w:eastAsia="zh-CN"/>
              </w:rPr>
              <w:t>重金属应符合《污水综合排放标准》中表1第一类污染物最高允许排放浓度限值；其它指标可以符合《污水综合排放标准》</w:t>
            </w:r>
            <w:r>
              <w:rPr>
                <w:rFonts w:hint="eastAsia" w:ascii="Times New Roman" w:hAnsi="Times New Roman" w:eastAsia="宋体" w:cs="Times New Roman"/>
                <w:color w:val="auto"/>
                <w:sz w:val="21"/>
                <w:szCs w:val="21"/>
                <w:highlight w:val="none"/>
                <w:lang w:val="en-GB" w:eastAsia="zh-CN"/>
              </w:rPr>
              <w:t>(GB8978-1996)表4三级排放标准。</w:t>
            </w:r>
            <w:r>
              <w:rPr>
                <w:rFonts w:hint="eastAsia" w:cs="Times New Roman"/>
                <w:color w:val="auto"/>
                <w:szCs w:val="21"/>
                <w:lang w:eastAsia="zh-CN"/>
              </w:rPr>
              <w:t>（</w:t>
            </w:r>
            <w:r>
              <w:rPr>
                <w:rFonts w:hint="eastAsia" w:cs="Times New Roman"/>
                <w:color w:val="auto"/>
                <w:szCs w:val="21"/>
                <w:lang w:val="en-US" w:eastAsia="zh-CN"/>
              </w:rPr>
              <w:t>pH</w:t>
            </w:r>
            <w:r>
              <w:rPr>
                <w:rFonts w:hint="default" w:ascii="Times New Roman" w:hAnsi="Times New Roman" w:eastAsia="宋体" w:cs="Times New Roman"/>
                <w:color w:val="auto"/>
                <w:kern w:val="0"/>
                <w:sz w:val="21"/>
                <w:szCs w:val="21"/>
                <w:lang w:val="en-US" w:eastAsia="zh-CN" w:bidi="ar"/>
              </w:rPr>
              <w:t>6~9</w:t>
            </w:r>
            <w:r>
              <w:rPr>
                <w:rFonts w:hint="eastAsia" w:ascii="Times New Roman" w:hAnsi="Times New Roman" w:eastAsia="宋体" w:cs="Times New Roman"/>
                <w:color w:val="auto"/>
                <w:kern w:val="0"/>
                <w:sz w:val="21"/>
                <w:szCs w:val="21"/>
                <w:lang w:val="en-US" w:eastAsia="zh-CN" w:bidi="ar"/>
              </w:rPr>
              <w:t>，</w:t>
            </w:r>
            <w:r>
              <w:rPr>
                <w:color w:val="auto"/>
                <w:szCs w:val="21"/>
              </w:rPr>
              <w:t>COD≤</w:t>
            </w:r>
            <w:r>
              <w:rPr>
                <w:rFonts w:hint="eastAsia"/>
                <w:color w:val="auto"/>
                <w:szCs w:val="21"/>
              </w:rPr>
              <w:t>360</w:t>
            </w:r>
            <w:r>
              <w:rPr>
                <w:rFonts w:hint="eastAsia"/>
                <w:color w:val="auto"/>
                <w:szCs w:val="21"/>
                <w:lang w:val="en-US" w:eastAsia="zh-CN"/>
              </w:rPr>
              <w:t>mg/L</w:t>
            </w:r>
            <w:r>
              <w:rPr>
                <w:rFonts w:hint="eastAsia"/>
                <w:color w:val="auto"/>
                <w:szCs w:val="21"/>
                <w:lang w:eastAsia="zh-CN"/>
              </w:rPr>
              <w:t>，</w:t>
            </w:r>
            <w:r>
              <w:rPr>
                <w:rFonts w:hint="default" w:ascii="Times New Roman" w:hAnsi="Times New Roman" w:cs="Times New Roman"/>
                <w:color w:val="auto"/>
                <w:kern w:val="0"/>
                <w:szCs w:val="21"/>
                <w:lang w:val="en-US" w:eastAsia="zh-CN"/>
              </w:rPr>
              <w:t>SS</w:t>
            </w:r>
            <w:r>
              <w:rPr>
                <w:color w:val="auto"/>
                <w:szCs w:val="21"/>
              </w:rPr>
              <w:t>≤</w:t>
            </w:r>
            <w:r>
              <w:rPr>
                <w:rFonts w:hint="eastAsia"/>
                <w:color w:val="auto"/>
                <w:szCs w:val="21"/>
              </w:rPr>
              <w:t>3</w:t>
            </w:r>
            <w:r>
              <w:rPr>
                <w:rFonts w:hint="eastAsia"/>
                <w:color w:val="auto"/>
                <w:szCs w:val="21"/>
                <w:lang w:val="en-US" w:eastAsia="zh-CN"/>
              </w:rPr>
              <w:t>0</w:t>
            </w:r>
            <w:r>
              <w:rPr>
                <w:rFonts w:hint="eastAsia"/>
                <w:color w:val="auto"/>
                <w:szCs w:val="21"/>
              </w:rPr>
              <w:t>0</w:t>
            </w:r>
            <w:r>
              <w:rPr>
                <w:rFonts w:hint="eastAsia"/>
                <w:color w:val="auto"/>
                <w:szCs w:val="21"/>
                <w:lang w:val="en-US" w:eastAsia="zh-CN"/>
              </w:rPr>
              <w:t>mg/L</w:t>
            </w:r>
            <w:r>
              <w:rPr>
                <w:rFonts w:hint="eastAsia"/>
                <w:color w:val="auto"/>
                <w:szCs w:val="21"/>
                <w:lang w:eastAsia="zh-CN"/>
              </w:rPr>
              <w:t>，</w:t>
            </w:r>
            <w:r>
              <w:rPr>
                <w:color w:val="auto"/>
                <w:szCs w:val="21"/>
              </w:rPr>
              <w:t>氨氮≤</w:t>
            </w:r>
            <w:r>
              <w:rPr>
                <w:rFonts w:hint="eastAsia"/>
                <w:color w:val="auto"/>
                <w:szCs w:val="21"/>
              </w:rPr>
              <w:t>35</w:t>
            </w:r>
            <w:r>
              <w:rPr>
                <w:rFonts w:hint="eastAsia"/>
                <w:color w:val="auto"/>
                <w:szCs w:val="21"/>
                <w:lang w:val="en-US" w:eastAsia="zh-CN"/>
              </w:rPr>
              <w:t>mg/L，</w:t>
            </w:r>
            <w:r>
              <w:rPr>
                <w:rFonts w:hint="default" w:ascii="Times New Roman" w:hAnsi="Times New Roman" w:eastAsia="宋体" w:cs="Times New Roman"/>
                <w:color w:val="auto"/>
                <w:kern w:val="2"/>
                <w:sz w:val="21"/>
                <w:szCs w:val="21"/>
                <w:highlight w:val="none"/>
                <w:lang w:val="en-US" w:eastAsia="zh-CN" w:bidi="ar-SA"/>
              </w:rPr>
              <w:t>总铬</w:t>
            </w:r>
            <w:r>
              <w:rPr>
                <w:color w:val="auto"/>
                <w:szCs w:val="21"/>
              </w:rPr>
              <w:t>≤</w:t>
            </w:r>
            <w:r>
              <w:rPr>
                <w:rFonts w:hint="eastAsia"/>
                <w:color w:val="auto"/>
                <w:szCs w:val="21"/>
                <w:lang w:val="en-US" w:eastAsia="zh-CN"/>
              </w:rPr>
              <w:t>1.5mg/L，</w:t>
            </w:r>
            <w:r>
              <w:rPr>
                <w:rFonts w:hint="default" w:ascii="Times New Roman" w:hAnsi="Times New Roman" w:eastAsia="宋体" w:cs="Times New Roman"/>
                <w:color w:val="auto"/>
                <w:kern w:val="2"/>
                <w:sz w:val="21"/>
                <w:szCs w:val="21"/>
                <w:highlight w:val="none"/>
                <w:lang w:val="en-US" w:eastAsia="zh-CN" w:bidi="ar-SA"/>
              </w:rPr>
              <w:t>总镍</w:t>
            </w:r>
            <w:r>
              <w:rPr>
                <w:color w:val="auto"/>
                <w:szCs w:val="21"/>
              </w:rPr>
              <w:t>≤</w:t>
            </w:r>
            <w:r>
              <w:rPr>
                <w:rFonts w:hint="eastAsia"/>
                <w:color w:val="auto"/>
                <w:szCs w:val="21"/>
                <w:lang w:val="en-US" w:eastAsia="zh-CN"/>
              </w:rPr>
              <w:t>1.0mg/L</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总铅</w:t>
            </w:r>
            <w:r>
              <w:rPr>
                <w:color w:val="auto"/>
                <w:szCs w:val="21"/>
              </w:rPr>
              <w:t>≤</w:t>
            </w:r>
            <w:r>
              <w:rPr>
                <w:rFonts w:hint="eastAsia"/>
                <w:color w:val="auto"/>
                <w:szCs w:val="21"/>
                <w:lang w:val="en-US" w:eastAsia="zh-CN"/>
              </w:rPr>
              <w:t>1.0mg/L</w:t>
            </w:r>
            <w:r>
              <w:rPr>
                <w:rFonts w:hint="eastAsia"/>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vMerge w:val="restar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固体废物</w:t>
            </w:r>
          </w:p>
        </w:tc>
        <w:tc>
          <w:tcPr>
            <w:tcW w:w="50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一般工业固废</w:t>
            </w:r>
          </w:p>
        </w:tc>
        <w:tc>
          <w:tcPr>
            <w:tcW w:w="624"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除尘灰</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成品堆场</w:t>
            </w:r>
          </w:p>
        </w:tc>
        <w:tc>
          <w:tcPr>
            <w:tcW w:w="1090" w:type="pct"/>
            <w:noWrap w:val="0"/>
            <w:tcMar>
              <w:top w:w="0" w:type="dxa"/>
              <w:left w:w="6" w:type="dxa"/>
              <w:bottom w:w="0" w:type="dxa"/>
              <w:right w:w="6" w:type="dxa"/>
            </w:tcMar>
            <w:vAlign w:val="center"/>
          </w:tcPr>
          <w:p>
            <w:pPr>
              <w:keepNext w:val="0"/>
              <w:keepLines w:val="0"/>
              <w:pageBreakBefore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回用于生产</w:t>
            </w:r>
          </w:p>
        </w:tc>
        <w:tc>
          <w:tcPr>
            <w:tcW w:w="830" w:type="pct"/>
            <w:noWrap w:val="0"/>
            <w:tcMar>
              <w:top w:w="0" w:type="dxa"/>
              <w:left w:w="6" w:type="dxa"/>
              <w:bottom w:w="0" w:type="dxa"/>
              <w:right w:w="6" w:type="dxa"/>
            </w:tcMar>
            <w:vAlign w:val="center"/>
          </w:tcPr>
          <w:p>
            <w:pPr>
              <w:keepNext w:val="0"/>
              <w:keepLines w:val="0"/>
              <w:pageBreakBefore w:val="0"/>
              <w:tabs>
                <w:tab w:val="left" w:pos="258"/>
              </w:tabs>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26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p>
        </w:tc>
        <w:tc>
          <w:tcPr>
            <w:tcW w:w="50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危险废物</w:t>
            </w:r>
          </w:p>
        </w:tc>
        <w:tc>
          <w:tcPr>
            <w:tcW w:w="624"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废机油</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危除废物</w:t>
            </w:r>
          </w:p>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暂存间</w:t>
            </w:r>
          </w:p>
        </w:tc>
        <w:tc>
          <w:tcPr>
            <w:tcW w:w="109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lang w:val="en-US" w:eastAsia="zh-CN"/>
              </w:rPr>
              <w:t>依托现有工程设置的</w:t>
            </w:r>
            <w:r>
              <w:rPr>
                <w:rFonts w:hint="default" w:ascii="Times New Roman" w:hAnsi="Times New Roman" w:eastAsia="宋体" w:cs="Times New Roman"/>
                <w:b w:val="0"/>
                <w:bCs w:val="0"/>
                <w:color w:val="auto"/>
                <w:sz w:val="21"/>
                <w:szCs w:val="21"/>
              </w:rPr>
              <w:t>危废暂存间，危险废物委托</w:t>
            </w:r>
            <w:r>
              <w:rPr>
                <w:rFonts w:hint="default" w:ascii="Times New Roman" w:hAnsi="Times New Roman" w:eastAsia="宋体" w:cs="Times New Roman"/>
                <w:b w:val="0"/>
                <w:bCs w:val="0"/>
                <w:color w:val="auto"/>
                <w:sz w:val="21"/>
                <w:szCs w:val="21"/>
                <w:lang w:eastAsia="zh-CN"/>
              </w:rPr>
              <w:t>有资质单位处置</w:t>
            </w:r>
          </w:p>
        </w:tc>
        <w:tc>
          <w:tcPr>
            <w:tcW w:w="83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危废暂存间符合标准规范要求，建立危废管理台账，建立企业危废规范化管理档案。</w:t>
            </w:r>
          </w:p>
        </w:tc>
        <w:tc>
          <w:tcPr>
            <w:tcW w:w="126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《危险废物贮存污染控制标准》（GB18597-</w:t>
            </w:r>
            <w:r>
              <w:rPr>
                <w:rFonts w:hint="default" w:ascii="Times New Roman" w:hAnsi="Times New Roman" w:cs="Times New Roman"/>
                <w:b w:val="0"/>
                <w:bCs w:val="0"/>
                <w:color w:val="auto"/>
                <w:sz w:val="21"/>
                <w:szCs w:val="21"/>
                <w:lang w:val="en-US" w:eastAsia="zh-CN"/>
              </w:rPr>
              <w:t>2023</w:t>
            </w:r>
            <w:r>
              <w:rPr>
                <w:rFonts w:hint="default" w:ascii="Times New Roman" w:hAnsi="Times New Roman" w:eastAsia="宋体" w:cs="Times New Roman"/>
                <w:b w:val="0"/>
                <w:bCs w:val="0"/>
                <w:color w:val="auto"/>
                <w:sz w:val="21"/>
                <w:szCs w:val="21"/>
              </w:rPr>
              <w:t>），外运处置执行《危险废物转移联单管理办法》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p>
        </w:tc>
        <w:tc>
          <w:tcPr>
            <w:tcW w:w="50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生活垃圾</w:t>
            </w:r>
          </w:p>
        </w:tc>
        <w:tc>
          <w:tcPr>
            <w:tcW w:w="624"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生活垃圾</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生活垃圾收集点</w:t>
            </w:r>
          </w:p>
        </w:tc>
        <w:tc>
          <w:tcPr>
            <w:tcW w:w="109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在厂区</w:t>
            </w:r>
            <w:r>
              <w:rPr>
                <w:rFonts w:hint="default" w:ascii="Times New Roman" w:hAnsi="Times New Roman" w:cs="Times New Roman"/>
                <w:b w:val="0"/>
                <w:bCs w:val="0"/>
                <w:color w:val="auto"/>
                <w:sz w:val="21"/>
                <w:szCs w:val="21"/>
                <w:lang w:eastAsia="zh-CN"/>
              </w:rPr>
              <w:t>建设</w:t>
            </w:r>
            <w:r>
              <w:rPr>
                <w:rFonts w:hint="default" w:ascii="Times New Roman" w:hAnsi="Times New Roman" w:cs="Times New Roman"/>
                <w:b w:val="0"/>
                <w:bCs w:val="0"/>
                <w:color w:val="auto"/>
                <w:sz w:val="21"/>
                <w:szCs w:val="21"/>
              </w:rPr>
              <w:t>生活垃圾暂存间，环卫部门定期收集处理</w:t>
            </w:r>
          </w:p>
        </w:tc>
        <w:tc>
          <w:tcPr>
            <w:tcW w:w="83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生活垃圾合理处置，</w:t>
            </w:r>
          </w:p>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无二次污染</w:t>
            </w:r>
          </w:p>
        </w:tc>
        <w:tc>
          <w:tcPr>
            <w:tcW w:w="126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验收措施落实情况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38"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噪声</w:t>
            </w:r>
          </w:p>
        </w:tc>
        <w:tc>
          <w:tcPr>
            <w:tcW w:w="50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设备噪声</w:t>
            </w:r>
          </w:p>
        </w:tc>
        <w:tc>
          <w:tcPr>
            <w:tcW w:w="624"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w:t>
            </w:r>
          </w:p>
        </w:tc>
        <w:tc>
          <w:tcPr>
            <w:tcW w:w="4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厂界噪声</w:t>
            </w:r>
          </w:p>
        </w:tc>
        <w:tc>
          <w:tcPr>
            <w:tcW w:w="109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both"/>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采取隔声、减振、吸声、消声和绿化等降噪措施</w:t>
            </w:r>
          </w:p>
        </w:tc>
        <w:tc>
          <w:tcPr>
            <w:tcW w:w="830"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厂界达标</w:t>
            </w:r>
          </w:p>
        </w:tc>
        <w:tc>
          <w:tcPr>
            <w:tcW w:w="126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outlineLvl w:val="9"/>
              <w:rPr>
                <w:rFonts w:hint="eastAsia" w:ascii="Times New Roman" w:hAnsi="Times New Roman" w:eastAsia="宋体" w:cs="Times New Roman"/>
                <w:b w:val="0"/>
                <w:bCs w:val="0"/>
                <w:color w:val="auto"/>
                <w:sz w:val="21"/>
                <w:szCs w:val="21"/>
                <w:highlight w:val="yellow"/>
                <w:lang w:eastAsia="zh-CN"/>
              </w:rPr>
            </w:pPr>
            <w:r>
              <w:rPr>
                <w:rFonts w:hint="default" w:ascii="Times New Roman" w:hAnsi="Times New Roman" w:cs="Times New Roman"/>
                <w:b w:val="0"/>
                <w:bCs w:val="0"/>
                <w:color w:val="auto"/>
                <w:sz w:val="21"/>
                <w:szCs w:val="21"/>
              </w:rPr>
              <w:t>厂界噪声执行《工业企业厂界环境噪声排放标准》（GB12348-2008）3类标准</w:t>
            </w:r>
            <w:r>
              <w:rPr>
                <w:rFonts w:hint="default" w:ascii="Times New Roman" w:hAnsi="Times New Roman" w:cs="Times New Roman"/>
                <w:b w:val="0"/>
                <w:bCs w:val="0"/>
                <w:color w:val="auto"/>
                <w:sz w:val="21"/>
                <w:szCs w:val="21"/>
                <w:lang w:val="en-US" w:eastAsia="zh-CN"/>
              </w:rPr>
              <w:t>（昼间≤</w:t>
            </w:r>
            <w:r>
              <w:rPr>
                <w:rFonts w:hint="eastAsia" w:ascii="Times New Roman" w:hAnsi="Times New Roman" w:cs="Times New Roman"/>
                <w:b w:val="0"/>
                <w:bCs w:val="0"/>
                <w:color w:val="auto"/>
                <w:sz w:val="21"/>
                <w:szCs w:val="21"/>
                <w:lang w:val="en-US" w:eastAsia="zh-CN"/>
              </w:rPr>
              <w:t>65</w:t>
            </w:r>
            <w:r>
              <w:rPr>
                <w:rFonts w:hint="default" w:ascii="Times New Roman" w:hAnsi="Times New Roman" w:cs="Times New Roman"/>
                <w:b w:val="0"/>
                <w:bCs w:val="0"/>
                <w:color w:val="auto"/>
                <w:sz w:val="21"/>
                <w:szCs w:val="21"/>
                <w:lang w:val="en-US" w:eastAsia="zh-CN"/>
              </w:rPr>
              <w:t>dB，夜间≤55dB）</w:t>
            </w:r>
          </w:p>
        </w:tc>
      </w:tr>
    </w:tbl>
    <w:p>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jc w:val="center"/>
        <w:textAlignment w:val="auto"/>
        <w:outlineLvl w:val="4"/>
        <w:rPr>
          <w:rFonts w:hint="default" w:ascii="Times New Roman" w:hAnsi="Times New Roman" w:eastAsia="黑体" w:cs="Times New Roman"/>
          <w:color w:val="0000FF"/>
          <w:sz w:val="24"/>
          <w:lang w:val="en-US" w:eastAsia="zh-CN"/>
        </w:rPr>
        <w:sectPr>
          <w:pgSz w:w="16840" w:h="11907" w:orient="landscape"/>
          <w:pgMar w:top="1417" w:right="1701" w:bottom="1417" w:left="1701" w:header="850" w:footer="850" w:gutter="0"/>
          <w:pgBorders>
            <w:top w:val="none" w:sz="0" w:space="0"/>
            <w:left w:val="none" w:sz="0" w:space="0"/>
            <w:bottom w:val="none" w:sz="0" w:space="0"/>
            <w:right w:val="none" w:sz="0" w:space="0"/>
          </w:pgBorders>
          <w:pgNumType w:fmt="decimal"/>
          <w:cols w:space="720" w:num="1"/>
          <w:docGrid w:type="linesAndChars" w:linePitch="447" w:charSpace="352"/>
        </w:sectPr>
      </w:pPr>
    </w:p>
    <w:p>
      <w:pPr>
        <w:keepNext w:val="0"/>
        <w:keepLines w:val="0"/>
        <w:pageBreakBefore w:val="0"/>
        <w:widowControl/>
        <w:kinsoku/>
        <w:wordWrap/>
        <w:overflowPunct/>
        <w:topLinePunct w:val="0"/>
        <w:autoSpaceDE/>
        <w:autoSpaceDN/>
        <w:bidi w:val="0"/>
        <w:adjustRightInd/>
        <w:snapToGrid w:val="0"/>
        <w:spacing w:before="157" w:beforeLines="50" w:after="156" w:afterLines="50" w:line="240" w:lineRule="auto"/>
        <w:jc w:val="center"/>
        <w:textAlignment w:val="auto"/>
        <w:outlineLvl w:val="0"/>
        <w:rPr>
          <w:rFonts w:hint="default" w:ascii="Times New Roman" w:hAnsi="Times New Roman" w:eastAsia="黑体" w:cs="Times New Roman"/>
          <w:snapToGrid w:val="0"/>
          <w:color w:val="auto"/>
          <w:kern w:val="0"/>
          <w:sz w:val="30"/>
          <w:szCs w:val="30"/>
          <w:highlight w:val="none"/>
          <w:lang w:val="en-US" w:eastAsia="zh-CN"/>
        </w:rPr>
      </w:pPr>
      <w:bookmarkStart w:id="273" w:name="_Toc27013"/>
      <w:bookmarkStart w:id="274" w:name="_Toc19198"/>
      <w:bookmarkStart w:id="275" w:name="_Toc28377"/>
      <w:bookmarkStart w:id="276" w:name="_Toc14351"/>
      <w:r>
        <w:rPr>
          <w:rFonts w:hint="eastAsia" w:ascii="Times New Roman" w:hAnsi="Times New Roman" w:eastAsia="黑体" w:cs="Times New Roman"/>
          <w:snapToGrid w:val="0"/>
          <w:color w:val="auto"/>
          <w:kern w:val="0"/>
          <w:sz w:val="30"/>
          <w:szCs w:val="30"/>
          <w:highlight w:val="none"/>
          <w:lang w:val="en-US" w:eastAsia="zh-CN"/>
        </w:rPr>
        <w:t>六、</w:t>
      </w:r>
      <w:r>
        <w:rPr>
          <w:rFonts w:hint="default" w:ascii="Times New Roman" w:hAnsi="Times New Roman" w:eastAsia="黑体" w:cs="Times New Roman"/>
          <w:snapToGrid w:val="0"/>
          <w:color w:val="auto"/>
          <w:kern w:val="0"/>
          <w:sz w:val="30"/>
          <w:szCs w:val="30"/>
          <w:highlight w:val="none"/>
          <w:lang w:val="en-US" w:eastAsia="zh-CN"/>
        </w:rPr>
        <w:t>结论</w:t>
      </w:r>
      <w:bookmarkEnd w:id="273"/>
      <w:bookmarkEnd w:id="274"/>
      <w:bookmarkEnd w:id="275"/>
      <w:bookmarkEnd w:id="276"/>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288" w:type="dxa"/>
            <w:noWrap w:val="0"/>
            <w:vAlign w:val="top"/>
          </w:tcPr>
          <w:p>
            <w:pPr>
              <w:pStyle w:val="10"/>
              <w:keepNext w:val="0"/>
              <w:keepLines w:val="0"/>
              <w:pageBreakBefore w:val="0"/>
              <w:widowControl w:val="0"/>
              <w:kinsoku/>
              <w:wordWrap/>
              <w:overflowPunct/>
              <w:topLinePunct w:val="0"/>
              <w:autoSpaceDE/>
              <w:autoSpaceDN/>
              <w:bidi w:val="0"/>
              <w:adjustRightInd/>
              <w:snapToGrid w:val="0"/>
              <w:spacing w:before="188" w:beforeLines="50"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上所述，福安市青拓环保建材有限公司钢渣综合利用技改项目符合国家有关产政策，选址符合当地规划要求，符合宁德市“三线一单”生态环境分区管控方案要求。在全面落实本报告提出的各项环保措施及风险防范措施的基础上，加强</w:t>
            </w:r>
            <w:r>
              <w:rPr>
                <w:rFonts w:hint="eastAsia" w:cs="Times New Roman"/>
                <w:color w:val="auto"/>
                <w:sz w:val="24"/>
                <w:highlight w:val="none"/>
                <w:lang w:val="en-US" w:eastAsia="zh-CN"/>
              </w:rPr>
              <w:t>环境</w:t>
            </w:r>
            <w:r>
              <w:rPr>
                <w:rFonts w:hint="eastAsia" w:ascii="Times New Roman" w:hAnsi="Times New Roman" w:eastAsia="宋体" w:cs="Times New Roman"/>
                <w:color w:val="auto"/>
                <w:sz w:val="24"/>
                <w:highlight w:val="none"/>
                <w:lang w:val="en-US" w:eastAsia="zh-CN"/>
              </w:rPr>
              <w:t>管理，确保环保设施的正常稳定运行，污染物实现稳定达标排放，对周围环境影响可接受。从环境保护的角度分析，该项目的建设是可行的。</w:t>
            </w:r>
          </w:p>
          <w:p>
            <w:pPr>
              <w:keepLines/>
              <w:widowControl/>
              <w:adjustRightInd w:val="0"/>
              <w:snapToGrid w:val="0"/>
              <w:spacing w:line="360" w:lineRule="auto"/>
              <w:ind w:firstLine="562" w:firstLineChars="200"/>
              <w:jc w:val="center"/>
              <w:rPr>
                <w:rFonts w:hint="eastAsia" w:cs="Times New Roman"/>
                <w:b/>
                <w:bCs/>
                <w:color w:val="0000FF"/>
                <w:sz w:val="28"/>
                <w:szCs w:val="28"/>
                <w:lang w:val="en-US" w:eastAsia="zh-CN"/>
              </w:rPr>
            </w:pPr>
            <w:r>
              <w:rPr>
                <w:rFonts w:hint="eastAsia" w:cs="Times New Roman"/>
                <w:b/>
                <w:bCs/>
                <w:color w:val="0000FF"/>
                <w:sz w:val="28"/>
                <w:szCs w:val="28"/>
                <w:lang w:val="en-US" w:eastAsia="zh-CN"/>
              </w:rPr>
              <w:t xml:space="preserve">                           </w:t>
            </w:r>
          </w:p>
          <w:p>
            <w:pPr>
              <w:keepLines/>
              <w:widowControl/>
              <w:adjustRightInd w:val="0"/>
              <w:snapToGrid w:val="0"/>
              <w:spacing w:line="360" w:lineRule="auto"/>
              <w:ind w:firstLine="562" w:firstLineChars="200"/>
              <w:jc w:val="center"/>
              <w:rPr>
                <w:rFonts w:hint="eastAsia" w:cs="Times New Roman"/>
                <w:b/>
                <w:bCs/>
                <w:color w:val="0000FF"/>
                <w:sz w:val="28"/>
                <w:szCs w:val="28"/>
                <w:lang w:val="en-US" w:eastAsia="zh-CN"/>
              </w:rPr>
            </w:pPr>
          </w:p>
          <w:p>
            <w:pPr>
              <w:keepLines/>
              <w:widowControl/>
              <w:adjustRightInd w:val="0"/>
              <w:snapToGrid w:val="0"/>
              <w:spacing w:line="360" w:lineRule="auto"/>
              <w:ind w:firstLine="562" w:firstLineChars="200"/>
              <w:jc w:val="center"/>
              <w:rPr>
                <w:rFonts w:hint="eastAsia" w:cs="Times New Roman"/>
                <w:b/>
                <w:bCs/>
                <w:color w:val="0000FF"/>
                <w:sz w:val="28"/>
                <w:szCs w:val="28"/>
                <w:lang w:val="en-US" w:eastAsia="zh-CN"/>
              </w:rPr>
            </w:pPr>
          </w:p>
          <w:p>
            <w:pPr>
              <w:keepLines/>
              <w:widowControl/>
              <w:adjustRightInd w:val="0"/>
              <w:snapToGrid w:val="0"/>
              <w:spacing w:line="360" w:lineRule="auto"/>
              <w:ind w:firstLine="562" w:firstLineChars="200"/>
              <w:jc w:val="center"/>
              <w:rPr>
                <w:rFonts w:hint="eastAsia" w:cs="Times New Roman"/>
                <w:b/>
                <w:bCs/>
                <w:color w:val="0000FF"/>
                <w:sz w:val="28"/>
                <w:szCs w:val="28"/>
                <w:lang w:val="en-US" w:eastAsia="zh-CN"/>
              </w:rPr>
            </w:pPr>
          </w:p>
          <w:p>
            <w:pPr>
              <w:keepLines/>
              <w:widowControl/>
              <w:adjustRightInd w:val="0"/>
              <w:snapToGrid w:val="0"/>
              <w:spacing w:line="360" w:lineRule="auto"/>
              <w:ind w:firstLine="562" w:firstLineChars="200"/>
              <w:jc w:val="center"/>
              <w:rPr>
                <w:rFonts w:hint="eastAsia" w:cs="Times New Roman"/>
                <w:b/>
                <w:bCs/>
                <w:color w:val="0000FF"/>
                <w:sz w:val="28"/>
                <w:szCs w:val="28"/>
                <w:lang w:val="en-US" w:eastAsia="zh-CN"/>
              </w:rPr>
            </w:pPr>
          </w:p>
          <w:p>
            <w:pPr>
              <w:keepLines/>
              <w:widowControl/>
              <w:adjustRightInd w:val="0"/>
              <w:snapToGrid w:val="0"/>
              <w:spacing w:line="360" w:lineRule="auto"/>
              <w:ind w:firstLine="562" w:firstLineChars="200"/>
              <w:jc w:val="center"/>
              <w:rPr>
                <w:rFonts w:hint="default" w:ascii="Times New Roman" w:hAnsi="Times New Roman" w:eastAsia="宋体" w:cs="Times New Roman"/>
                <w:b/>
                <w:bCs/>
                <w:color w:val="auto"/>
                <w:sz w:val="28"/>
                <w:szCs w:val="28"/>
                <w:lang w:eastAsia="zh-CN"/>
              </w:rPr>
            </w:pPr>
            <w:r>
              <w:rPr>
                <w:rFonts w:hint="eastAsia" w:cs="Times New Roman"/>
                <w:b/>
                <w:bCs/>
                <w:color w:val="0000FF"/>
                <w:sz w:val="28"/>
                <w:szCs w:val="28"/>
                <w:lang w:val="en-US" w:eastAsia="zh-CN"/>
              </w:rPr>
              <w:t xml:space="preserve">                                </w:t>
            </w:r>
            <w:r>
              <w:rPr>
                <w:rFonts w:hint="default" w:ascii="Times New Roman" w:hAnsi="Times New Roman" w:cs="Times New Roman"/>
                <w:b/>
                <w:bCs/>
                <w:color w:val="auto"/>
                <w:sz w:val="28"/>
                <w:szCs w:val="28"/>
              </w:rPr>
              <w:t>福建</w:t>
            </w:r>
            <w:r>
              <w:rPr>
                <w:rFonts w:hint="default" w:ascii="Times New Roman" w:hAnsi="Times New Roman" w:cs="Times New Roman"/>
                <w:b/>
                <w:bCs/>
                <w:color w:val="auto"/>
                <w:sz w:val="28"/>
                <w:szCs w:val="28"/>
                <w:lang w:eastAsia="zh-CN"/>
              </w:rPr>
              <w:t>省冶金工业设计院有限公司</w:t>
            </w:r>
          </w:p>
          <w:p>
            <w:pPr>
              <w:spacing w:line="360" w:lineRule="auto"/>
              <w:jc w:val="center"/>
              <w:rPr>
                <w:rFonts w:hint="default" w:ascii="Times New Roman" w:hAnsi="Times New Roman" w:cs="Times New Roman"/>
                <w:color w:val="0000FF"/>
                <w:sz w:val="24"/>
              </w:rPr>
            </w:pPr>
            <w:r>
              <w:rPr>
                <w:rFonts w:hint="eastAsia" w:cs="Times New Roman"/>
                <w:b/>
                <w:bCs/>
                <w:color w:val="auto"/>
                <w:sz w:val="28"/>
                <w:szCs w:val="28"/>
                <w:lang w:val="en-US" w:eastAsia="zh-CN"/>
              </w:rPr>
              <w:t xml:space="preserve">                                                 </w:t>
            </w:r>
            <w:r>
              <w:rPr>
                <w:rFonts w:hint="default" w:ascii="Times New Roman" w:hAnsi="Times New Roman" w:cs="Times New Roman"/>
                <w:b/>
                <w:bCs/>
                <w:color w:val="auto"/>
                <w:sz w:val="28"/>
                <w:szCs w:val="28"/>
              </w:rPr>
              <w:t>202</w:t>
            </w:r>
            <w:r>
              <w:rPr>
                <w:rFonts w:hint="default" w:ascii="Times New Roman" w:hAnsi="Times New Roman" w:cs="Times New Roman"/>
                <w:b/>
                <w:bCs/>
                <w:color w:val="auto"/>
                <w:sz w:val="28"/>
                <w:szCs w:val="28"/>
                <w:lang w:val="en-US" w:eastAsia="zh-CN"/>
              </w:rPr>
              <w:t>3</w:t>
            </w:r>
            <w:r>
              <w:rPr>
                <w:rFonts w:hint="default" w:ascii="Times New Roman" w:hAnsi="Times New Roman" w:cs="Times New Roman"/>
                <w:b/>
                <w:bCs/>
                <w:color w:val="auto"/>
                <w:sz w:val="28"/>
                <w:szCs w:val="28"/>
              </w:rPr>
              <w:t>年</w:t>
            </w:r>
            <w:r>
              <w:rPr>
                <w:rFonts w:hint="eastAsia" w:cs="Times New Roman"/>
                <w:b/>
                <w:bCs/>
                <w:color w:val="auto"/>
                <w:sz w:val="28"/>
                <w:szCs w:val="28"/>
                <w:lang w:val="en-US" w:eastAsia="zh-CN"/>
              </w:rPr>
              <w:t>9</w:t>
            </w:r>
            <w:r>
              <w:rPr>
                <w:rFonts w:hint="default" w:ascii="Times New Roman" w:hAnsi="Times New Roman" w:cs="Times New Roman"/>
                <w:b/>
                <w:bCs/>
                <w:color w:val="auto"/>
                <w:sz w:val="28"/>
                <w:szCs w:val="28"/>
              </w:rPr>
              <w:t>月</w:t>
            </w:r>
            <w:r>
              <w:rPr>
                <w:rFonts w:hint="eastAsia" w:cs="Times New Roman"/>
                <w:b/>
                <w:bCs/>
                <w:color w:val="auto"/>
                <w:sz w:val="28"/>
                <w:szCs w:val="28"/>
                <w:highlight w:val="none"/>
                <w:lang w:val="en-US" w:eastAsia="zh-CN"/>
              </w:rPr>
              <w:t>21</w:t>
            </w:r>
            <w:r>
              <w:rPr>
                <w:rFonts w:hint="default" w:ascii="Times New Roman" w:hAnsi="Times New Roman" w:cs="Times New Roman"/>
                <w:b/>
                <w:bCs/>
                <w:color w:val="auto"/>
                <w:sz w:val="28"/>
                <w:szCs w:val="28"/>
              </w:rPr>
              <w:t>日</w:t>
            </w:r>
          </w:p>
        </w:tc>
      </w:tr>
    </w:tbl>
    <w:p>
      <w:pPr>
        <w:rPr>
          <w:rFonts w:hint="default" w:ascii="Times New Roman" w:hAnsi="Times New Roman" w:cs="Times New Roman"/>
          <w:color w:val="auto"/>
        </w:rPr>
        <w:sectPr>
          <w:pgSz w:w="11906" w:h="16838"/>
          <w:pgMar w:top="1417" w:right="1417" w:bottom="1417" w:left="1417" w:header="851" w:footer="850" w:gutter="0"/>
          <w:pgBorders>
            <w:top w:val="none" w:sz="0" w:space="0"/>
            <w:left w:val="none" w:sz="0" w:space="0"/>
            <w:bottom w:val="none" w:sz="0" w:space="0"/>
            <w:right w:val="none" w:sz="0" w:space="0"/>
          </w:pgBorders>
          <w:pgNumType w:fmt="decimal"/>
          <w:cols w:space="720" w:num="1"/>
          <w:docGrid w:type="lines" w:linePitch="373" w:charSpace="0"/>
        </w:sectPr>
      </w:pPr>
    </w:p>
    <w:p>
      <w:pPr>
        <w:snapToGrid w:val="0"/>
        <w:spacing w:before="72" w:beforeLines="30" w:after="72" w:afterLines="30" w:line="240" w:lineRule="auto"/>
        <w:outlineLvl w:val="0"/>
        <w:rPr>
          <w:rFonts w:hint="default" w:ascii="Times New Roman" w:hAnsi="Times New Roman" w:eastAsia="宋体" w:cs="Times New Roman"/>
          <w:b/>
          <w:bCs/>
          <w:color w:val="auto"/>
          <w:sz w:val="28"/>
          <w:szCs w:val="28"/>
          <w:highlight w:val="none"/>
          <w:lang w:val="en-US" w:eastAsia="zh-CN"/>
        </w:rPr>
      </w:pPr>
      <w:bookmarkStart w:id="277" w:name="_Toc5612"/>
      <w:bookmarkStart w:id="278" w:name="_Toc16984"/>
      <w:bookmarkStart w:id="279" w:name="_Toc31955"/>
      <w:bookmarkStart w:id="280" w:name="_Toc15995"/>
      <w:r>
        <w:rPr>
          <w:rFonts w:hint="default" w:ascii="Times New Roman" w:hAnsi="Times New Roman" w:eastAsia="宋体" w:cs="Times New Roman"/>
          <w:b/>
          <w:bCs/>
          <w:color w:val="auto"/>
          <w:sz w:val="28"/>
          <w:szCs w:val="28"/>
          <w:highlight w:val="none"/>
          <w:lang w:val="en-US" w:eastAsia="zh-CN"/>
        </w:rPr>
        <w:t>附表</w:t>
      </w:r>
      <w:bookmarkEnd w:id="277"/>
      <w:bookmarkEnd w:id="278"/>
      <w:bookmarkEnd w:id="279"/>
      <w:bookmarkEnd w:id="280"/>
    </w:p>
    <w:p>
      <w:pPr>
        <w:snapToGrid w:val="0"/>
        <w:spacing w:before="72" w:beforeLines="30" w:after="72" w:afterLines="30" w:line="240" w:lineRule="auto"/>
        <w:jc w:val="center"/>
        <w:outlineLvl w:val="0"/>
        <w:rPr>
          <w:rFonts w:hint="eastAsia" w:ascii="Times New Roman" w:hAnsi="Times New Roman" w:eastAsia="宋体" w:cs="Times New Roman"/>
          <w:b/>
          <w:bCs/>
          <w:color w:val="auto"/>
          <w:sz w:val="28"/>
          <w:szCs w:val="28"/>
          <w:highlight w:val="none"/>
          <w:lang w:val="en-US" w:eastAsia="zh-CN"/>
        </w:rPr>
      </w:pPr>
      <w:bookmarkStart w:id="281" w:name="_Toc540"/>
      <w:bookmarkStart w:id="282" w:name="_Toc32578"/>
      <w:bookmarkStart w:id="283" w:name="_Toc22794"/>
      <w:bookmarkStart w:id="284" w:name="_Toc20456"/>
      <w:bookmarkStart w:id="285" w:name="_Toc962"/>
      <w:bookmarkStart w:id="286" w:name="_Toc380"/>
      <w:r>
        <w:rPr>
          <w:rFonts w:hint="eastAsia" w:ascii="Times New Roman" w:hAnsi="Times New Roman" w:eastAsia="宋体" w:cs="Times New Roman"/>
          <w:b/>
          <w:bCs/>
          <w:color w:val="auto"/>
          <w:sz w:val="28"/>
          <w:szCs w:val="28"/>
          <w:highlight w:val="none"/>
          <w:lang w:val="en-US" w:eastAsia="zh-CN"/>
        </w:rPr>
        <w:t xml:space="preserve">                                    </w:t>
      </w:r>
      <w:bookmarkStart w:id="287" w:name="_Toc17647"/>
      <w:r>
        <w:rPr>
          <w:rFonts w:hint="default" w:ascii="Times New Roman" w:hAnsi="Times New Roman" w:eastAsia="宋体" w:cs="Times New Roman"/>
          <w:b/>
          <w:bCs/>
          <w:color w:val="auto"/>
          <w:sz w:val="28"/>
          <w:szCs w:val="28"/>
          <w:highlight w:val="none"/>
          <w:lang w:val="en-US" w:eastAsia="zh-CN"/>
        </w:rPr>
        <w:t>建设项目污染物排放量汇总表</w:t>
      </w:r>
      <w:bookmarkEnd w:id="281"/>
      <w:bookmarkEnd w:id="282"/>
      <w:bookmarkEnd w:id="283"/>
      <w:bookmarkEnd w:id="284"/>
      <w:bookmarkEnd w:id="285"/>
      <w:bookmarkEnd w:id="286"/>
      <w:r>
        <w:rPr>
          <w:rFonts w:hint="eastAsia" w:ascii="Times New Roman" w:hAnsi="Times New Roman" w:eastAsia="宋体" w:cs="Times New Roman"/>
          <w:b/>
          <w:bCs/>
          <w:color w:val="auto"/>
          <w:sz w:val="28"/>
          <w:szCs w:val="28"/>
          <w:highlight w:val="none"/>
          <w:lang w:val="en-US" w:eastAsia="zh-CN"/>
        </w:rPr>
        <w:t xml:space="preserve">                          单位：</w:t>
      </w:r>
      <w:r>
        <w:rPr>
          <w:rFonts w:hint="default" w:ascii="Times New Roman" w:hAnsi="Times New Roman" w:eastAsia="宋体" w:cs="Times New Roman"/>
          <w:b/>
          <w:bCs/>
          <w:color w:val="auto"/>
          <w:sz w:val="28"/>
          <w:szCs w:val="28"/>
          <w:highlight w:val="none"/>
          <w:lang w:val="en-US" w:eastAsia="zh-CN"/>
        </w:rPr>
        <w:t>t/a</w:t>
      </w:r>
      <w:bookmarkEnd w:id="287"/>
    </w:p>
    <w:tbl>
      <w:tblPr>
        <w:tblStyle w:val="33"/>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991"/>
        <w:gridCol w:w="1491"/>
        <w:gridCol w:w="1299"/>
        <w:gridCol w:w="1733"/>
        <w:gridCol w:w="1589"/>
        <w:gridCol w:w="1451"/>
        <w:gridCol w:w="1719"/>
        <w:gridCol w:w="14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tcBorders>
              <w:tl2br w:val="single" w:color="auto" w:sz="4" w:space="0"/>
            </w:tcBorders>
            <w:noWrap w:val="0"/>
            <w:tcMar>
              <w:left w:w="28" w:type="dxa"/>
              <w:right w:w="28" w:type="dxa"/>
            </w:tcMar>
            <w:vAlign w:val="center"/>
          </w:tcPr>
          <w:p>
            <w:pPr>
              <w:jc w:val="right"/>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项目</w:t>
            </w:r>
          </w:p>
          <w:p>
            <w:pPr>
              <w:jc w:val="left"/>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分类</w:t>
            </w:r>
          </w:p>
        </w:tc>
        <w:tc>
          <w:tcPr>
            <w:tcW w:w="708" w:type="pct"/>
            <w:noWrap w:val="0"/>
            <w:tcMar>
              <w:left w:w="28" w:type="dxa"/>
              <w:right w:w="28" w:type="dxa"/>
            </w:tcMar>
            <w:vAlign w:val="center"/>
          </w:tcPr>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污染物名称</w:t>
            </w:r>
          </w:p>
        </w:tc>
        <w:tc>
          <w:tcPr>
            <w:tcW w:w="530" w:type="pct"/>
            <w:noWrap w:val="0"/>
            <w:tcMar>
              <w:left w:w="28" w:type="dxa"/>
              <w:right w:w="28" w:type="dxa"/>
            </w:tcMar>
            <w:vAlign w:val="center"/>
          </w:tcPr>
          <w:p>
            <w:pPr>
              <w:pStyle w:val="65"/>
              <w:spacing w:beforeLines="0" w:afterLines="0" w:line="240" w:lineRule="auto"/>
              <w:ind w:firstLine="0"/>
              <w:rPr>
                <w:rFonts w:hint="default" w:ascii="Times New Roman" w:hAnsi="Times New Roman" w:eastAsia="宋体" w:cs="Times New Roman"/>
                <w:snapToGrid w:val="0"/>
                <w:color w:val="auto"/>
                <w:spacing w:val="-6"/>
                <w:kern w:val="21"/>
                <w:szCs w:val="21"/>
                <w:highlight w:val="none"/>
                <w:lang w:eastAsia="zh-CN"/>
              </w:rPr>
            </w:pPr>
            <w:r>
              <w:rPr>
                <w:rFonts w:hint="default" w:ascii="Times New Roman" w:hAnsi="Times New Roman" w:cs="Times New Roman"/>
                <w:snapToGrid w:val="0"/>
                <w:color w:val="auto"/>
                <w:spacing w:val="-6"/>
                <w:kern w:val="21"/>
                <w:szCs w:val="21"/>
                <w:highlight w:val="none"/>
                <w:lang w:eastAsia="zh-CN"/>
              </w:rPr>
              <w:t>原有工程</w:t>
            </w:r>
          </w:p>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排放量（固体废物产生量）</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①</w:t>
            </w:r>
            <w:r>
              <w:rPr>
                <w:rFonts w:hint="default" w:ascii="Times New Roman" w:hAnsi="Times New Roman" w:cs="Times New Roman"/>
                <w:snapToGrid w:val="0"/>
                <w:color w:val="auto"/>
                <w:spacing w:val="-6"/>
                <w:kern w:val="21"/>
                <w:szCs w:val="21"/>
                <w:highlight w:val="none"/>
              </w:rPr>
              <w:fldChar w:fldCharType="end"/>
            </w:r>
          </w:p>
        </w:tc>
        <w:tc>
          <w:tcPr>
            <w:tcW w:w="462" w:type="pct"/>
            <w:noWrap w:val="0"/>
            <w:tcMar>
              <w:left w:w="28" w:type="dxa"/>
              <w:right w:w="28" w:type="dxa"/>
            </w:tcMar>
            <w:vAlign w:val="center"/>
          </w:tcPr>
          <w:p>
            <w:pPr>
              <w:pStyle w:val="65"/>
              <w:spacing w:beforeLines="0" w:afterLines="0" w:line="240" w:lineRule="auto"/>
              <w:ind w:firstLine="0"/>
              <w:rPr>
                <w:rFonts w:hint="default" w:ascii="Times New Roman" w:hAnsi="Times New Roman" w:eastAsia="宋体" w:cs="Times New Roman"/>
                <w:snapToGrid w:val="0"/>
                <w:color w:val="auto"/>
                <w:spacing w:val="-6"/>
                <w:kern w:val="21"/>
                <w:szCs w:val="21"/>
                <w:highlight w:val="none"/>
                <w:lang w:eastAsia="zh-CN"/>
              </w:rPr>
            </w:pPr>
            <w:r>
              <w:rPr>
                <w:rFonts w:hint="default" w:ascii="Times New Roman" w:hAnsi="Times New Roman" w:cs="Times New Roman"/>
                <w:snapToGrid w:val="0"/>
                <w:color w:val="auto"/>
                <w:spacing w:val="-6"/>
                <w:kern w:val="21"/>
                <w:szCs w:val="21"/>
                <w:highlight w:val="none"/>
                <w:lang w:eastAsia="zh-CN"/>
              </w:rPr>
              <w:t>原有工程</w:t>
            </w:r>
          </w:p>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许可排放量</w:t>
            </w:r>
          </w:p>
          <w:p>
            <w:pPr>
              <w:pStyle w:val="65"/>
              <w:spacing w:beforeLines="0" w:afterLines="0"/>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2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snapToGrid w:val="0"/>
                <w:color w:val="auto"/>
                <w:spacing w:val="-6"/>
                <w:kern w:val="21"/>
                <w:szCs w:val="21"/>
                <w:highlight w:val="none"/>
              </w:rPr>
              <w:t>②</w:t>
            </w:r>
            <w:r>
              <w:rPr>
                <w:rFonts w:hint="default" w:ascii="Times New Roman" w:hAnsi="Times New Roman" w:cs="Times New Roman"/>
                <w:snapToGrid w:val="0"/>
                <w:color w:val="auto"/>
                <w:spacing w:val="-6"/>
                <w:kern w:val="21"/>
                <w:szCs w:val="21"/>
                <w:highlight w:val="none"/>
              </w:rPr>
              <w:fldChar w:fldCharType="end"/>
            </w:r>
          </w:p>
        </w:tc>
        <w:tc>
          <w:tcPr>
            <w:tcW w:w="616" w:type="pct"/>
            <w:noWrap w:val="0"/>
            <w:tcMar>
              <w:left w:w="28" w:type="dxa"/>
              <w:right w:w="28" w:type="dxa"/>
            </w:tcMar>
            <w:vAlign w:val="center"/>
          </w:tcPr>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在建工程</w:t>
            </w:r>
          </w:p>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排放量（固体废物产生量）</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③</w:t>
            </w:r>
            <w:r>
              <w:rPr>
                <w:rFonts w:hint="default" w:ascii="Times New Roman" w:hAnsi="Times New Roman" w:cs="Times New Roman"/>
                <w:snapToGrid w:val="0"/>
                <w:color w:val="auto"/>
                <w:spacing w:val="-6"/>
                <w:kern w:val="21"/>
                <w:szCs w:val="21"/>
                <w:highlight w:val="none"/>
              </w:rPr>
              <w:fldChar w:fldCharType="end"/>
            </w:r>
          </w:p>
        </w:tc>
        <w:tc>
          <w:tcPr>
            <w:tcW w:w="565" w:type="pct"/>
            <w:noWrap w:val="0"/>
            <w:tcMar>
              <w:left w:w="28" w:type="dxa"/>
              <w:right w:w="28" w:type="dxa"/>
            </w:tcMar>
            <w:vAlign w:val="center"/>
          </w:tcPr>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本项目</w:t>
            </w:r>
          </w:p>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排放量（固体废物产生量）</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④</w:t>
            </w:r>
            <w:r>
              <w:rPr>
                <w:rFonts w:hint="default" w:ascii="Times New Roman" w:hAnsi="Times New Roman" w:cs="Times New Roman"/>
                <w:snapToGrid w:val="0"/>
                <w:color w:val="auto"/>
                <w:spacing w:val="-6"/>
                <w:kern w:val="21"/>
                <w:szCs w:val="21"/>
                <w:highlight w:val="none"/>
              </w:rPr>
              <w:fldChar w:fldCharType="end"/>
            </w:r>
          </w:p>
        </w:tc>
        <w:tc>
          <w:tcPr>
            <w:tcW w:w="516" w:type="pct"/>
            <w:noWrap w:val="0"/>
            <w:tcMar>
              <w:left w:w="28" w:type="dxa"/>
              <w:right w:w="28" w:type="dxa"/>
            </w:tcMar>
            <w:vAlign w:val="center"/>
          </w:tcPr>
          <w:p>
            <w:pPr>
              <w:pStyle w:val="65"/>
              <w:spacing w:beforeLines="0" w:afterLines="0" w:line="240" w:lineRule="auto"/>
              <w:ind w:firstLine="0"/>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以新带老削减量</w:t>
            </w:r>
          </w:p>
          <w:p>
            <w:pPr>
              <w:pStyle w:val="65"/>
              <w:spacing w:beforeLines="0" w:afterLines="0" w:line="240" w:lineRule="auto"/>
              <w:ind w:firstLine="0"/>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（新建项目不填）</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kern w:val="2"/>
                <w:szCs w:val="21"/>
                <w:highlight w:val="none"/>
              </w:rPr>
              <w:t>⑤</w:t>
            </w:r>
            <w:r>
              <w:rPr>
                <w:rFonts w:hint="default" w:ascii="Times New Roman" w:hAnsi="Times New Roman" w:cs="Times New Roman"/>
                <w:snapToGrid w:val="0"/>
                <w:color w:val="auto"/>
                <w:spacing w:val="-16"/>
                <w:kern w:val="21"/>
                <w:szCs w:val="21"/>
                <w:highlight w:val="none"/>
              </w:rPr>
              <w:fldChar w:fldCharType="end"/>
            </w:r>
          </w:p>
        </w:tc>
        <w:tc>
          <w:tcPr>
            <w:tcW w:w="611" w:type="pct"/>
            <w:noWrap w:val="0"/>
            <w:tcMar>
              <w:left w:w="28" w:type="dxa"/>
              <w:right w:w="28" w:type="dxa"/>
            </w:tcMar>
            <w:vAlign w:val="center"/>
          </w:tcPr>
          <w:p>
            <w:pPr>
              <w:pStyle w:val="65"/>
              <w:spacing w:beforeLines="0" w:afterLines="0" w:line="240" w:lineRule="auto"/>
              <w:ind w:firstLine="0"/>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本项目建成后</w:t>
            </w:r>
          </w:p>
          <w:p>
            <w:pPr>
              <w:pStyle w:val="65"/>
              <w:spacing w:beforeLines="0" w:afterLines="0" w:line="240" w:lineRule="auto"/>
              <w:ind w:firstLine="0"/>
              <w:rPr>
                <w:rFonts w:hint="default" w:ascii="Times New Roman" w:hAnsi="Times New Roman" w:cs="Times New Roman"/>
                <w:snapToGrid w:val="0"/>
                <w:color w:val="auto"/>
                <w:spacing w:val="-16"/>
                <w:kern w:val="21"/>
                <w:szCs w:val="21"/>
                <w:highlight w:val="none"/>
              </w:rPr>
            </w:pPr>
            <w:r>
              <w:rPr>
                <w:rFonts w:hint="default" w:ascii="Times New Roman" w:hAnsi="Times New Roman" w:cs="Times New Roman"/>
                <w:snapToGrid w:val="0"/>
                <w:color w:val="auto"/>
                <w:spacing w:val="-16"/>
                <w:kern w:val="21"/>
                <w:szCs w:val="21"/>
                <w:highlight w:val="none"/>
              </w:rPr>
              <w:t>全厂排放量（固体废物产生量）</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kern w:val="2"/>
                <w:szCs w:val="21"/>
                <w:highlight w:val="none"/>
              </w:rPr>
              <w:t>⑥</w:t>
            </w:r>
            <w:r>
              <w:rPr>
                <w:rFonts w:hint="default" w:ascii="Times New Roman" w:hAnsi="Times New Roman" w:cs="Times New Roman"/>
                <w:snapToGrid w:val="0"/>
                <w:color w:val="auto"/>
                <w:spacing w:val="-16"/>
                <w:kern w:val="21"/>
                <w:szCs w:val="21"/>
                <w:highlight w:val="none"/>
              </w:rPr>
              <w:fldChar w:fldCharType="end"/>
            </w:r>
          </w:p>
        </w:tc>
        <w:tc>
          <w:tcPr>
            <w:tcW w:w="521" w:type="pct"/>
            <w:noWrap w:val="0"/>
            <w:tcMar>
              <w:left w:w="28" w:type="dxa"/>
              <w:right w:w="28" w:type="dxa"/>
            </w:tcMar>
            <w:vAlign w:val="center"/>
          </w:tcPr>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t>变化量</w:t>
            </w:r>
          </w:p>
          <w:p>
            <w:pPr>
              <w:pStyle w:val="65"/>
              <w:spacing w:beforeLines="0" w:afterLines="0" w:line="240" w:lineRule="auto"/>
              <w:ind w:firstLine="0"/>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kern w:val="2"/>
                <w:szCs w:val="21"/>
                <w:highlight w:val="none"/>
              </w:rPr>
              <w:t>⑦</w:t>
            </w:r>
            <w:r>
              <w:rPr>
                <w:rFonts w:hint="default" w:ascii="Times New Roman" w:hAnsi="Times New Roman" w:cs="Times New Roman"/>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restart"/>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废气</w:t>
            </w:r>
          </w:p>
        </w:tc>
        <w:tc>
          <w:tcPr>
            <w:tcW w:w="708" w:type="pct"/>
            <w:noWrap w:val="0"/>
            <w:vAlign w:val="center"/>
          </w:tcPr>
          <w:p>
            <w:pPr>
              <w:pStyle w:val="103"/>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颗粒物</w:t>
            </w:r>
          </w:p>
        </w:tc>
        <w:tc>
          <w:tcPr>
            <w:tcW w:w="530"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266.11</w:t>
            </w:r>
          </w:p>
        </w:tc>
        <w:tc>
          <w:tcPr>
            <w:tcW w:w="462"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266.11</w:t>
            </w:r>
          </w:p>
        </w:tc>
        <w:tc>
          <w:tcPr>
            <w:tcW w:w="61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5"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21.</w:t>
            </w:r>
            <w:r>
              <w:rPr>
                <w:rFonts w:hint="eastAsia" w:cs="Times New Roman"/>
                <w:color w:val="auto"/>
                <w:kern w:val="2"/>
                <w:sz w:val="21"/>
                <w:szCs w:val="24"/>
                <w:highlight w:val="none"/>
                <w:lang w:val="en-US" w:eastAsia="zh-CN" w:bidi="ar-SA"/>
              </w:rPr>
              <w:t>38</w:t>
            </w:r>
          </w:p>
        </w:tc>
        <w:tc>
          <w:tcPr>
            <w:tcW w:w="516"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611"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287.</w:t>
            </w:r>
            <w:r>
              <w:rPr>
                <w:rFonts w:hint="eastAsia" w:cs="Times New Roman"/>
                <w:color w:val="auto"/>
                <w:kern w:val="2"/>
                <w:sz w:val="21"/>
                <w:szCs w:val="24"/>
                <w:highlight w:val="none"/>
                <w:lang w:val="en-US" w:eastAsia="zh-CN" w:bidi="ar-SA"/>
              </w:rPr>
              <w:t>49</w:t>
            </w:r>
          </w:p>
        </w:tc>
        <w:tc>
          <w:tcPr>
            <w:tcW w:w="521"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+21.</w:t>
            </w:r>
            <w:r>
              <w:rPr>
                <w:rFonts w:hint="eastAsia" w:cs="Times New Roman"/>
                <w:color w:val="auto"/>
                <w:kern w:val="2"/>
                <w:sz w:val="21"/>
                <w:szCs w:val="24"/>
                <w:highlight w:val="none"/>
                <w:lang w:val="en-US" w:eastAsia="zh-CN" w:bidi="ar-SA"/>
              </w:rPr>
              <w:t>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continue"/>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p>
        </w:tc>
        <w:tc>
          <w:tcPr>
            <w:tcW w:w="708" w:type="pct"/>
            <w:noWrap w:val="0"/>
            <w:vAlign w:val="center"/>
          </w:tcPr>
          <w:p>
            <w:pPr>
              <w:pStyle w:val="103"/>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二氧化硫</w:t>
            </w:r>
          </w:p>
        </w:tc>
        <w:tc>
          <w:tcPr>
            <w:tcW w:w="530"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52.9</w:t>
            </w:r>
          </w:p>
        </w:tc>
        <w:tc>
          <w:tcPr>
            <w:tcW w:w="462"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52.9</w:t>
            </w:r>
          </w:p>
        </w:tc>
        <w:tc>
          <w:tcPr>
            <w:tcW w:w="61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5"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516"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611"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52.9</w:t>
            </w:r>
          </w:p>
        </w:tc>
        <w:tc>
          <w:tcPr>
            <w:tcW w:w="521"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continue"/>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p>
        </w:tc>
        <w:tc>
          <w:tcPr>
            <w:tcW w:w="708" w:type="pct"/>
            <w:noWrap w:val="0"/>
            <w:vAlign w:val="center"/>
          </w:tcPr>
          <w:p>
            <w:pPr>
              <w:pStyle w:val="103"/>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lang w:val="en-US" w:eastAsia="zh-CN"/>
              </w:rPr>
              <w:t>氮氧化物</w:t>
            </w:r>
          </w:p>
        </w:tc>
        <w:tc>
          <w:tcPr>
            <w:tcW w:w="530"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 xml:space="preserve">210.71 </w:t>
            </w:r>
          </w:p>
        </w:tc>
        <w:tc>
          <w:tcPr>
            <w:tcW w:w="462"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 xml:space="preserve">210.71 </w:t>
            </w:r>
          </w:p>
        </w:tc>
        <w:tc>
          <w:tcPr>
            <w:tcW w:w="61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5"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516"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c>
          <w:tcPr>
            <w:tcW w:w="611"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 xml:space="preserve">210.71 </w:t>
            </w:r>
          </w:p>
        </w:tc>
        <w:tc>
          <w:tcPr>
            <w:tcW w:w="521" w:type="pct"/>
            <w:noWrap w:val="0"/>
            <w:vAlign w:val="top"/>
          </w:tcPr>
          <w:p>
            <w:pPr>
              <w:widowControl/>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restart"/>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废水</w:t>
            </w:r>
          </w:p>
        </w:tc>
        <w:tc>
          <w:tcPr>
            <w:tcW w:w="708" w:type="pct"/>
            <w:noWrap w:val="0"/>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COD</w:t>
            </w:r>
          </w:p>
        </w:tc>
        <w:tc>
          <w:tcPr>
            <w:tcW w:w="530" w:type="pct"/>
            <w:noWrap w:val="0"/>
            <w:vAlign w:val="center"/>
          </w:tcPr>
          <w:p>
            <w:pPr>
              <w:adjustRightInd w:val="0"/>
              <w:snapToGrid w:val="0"/>
              <w:jc w:val="center"/>
              <w:rPr>
                <w:rFonts w:hint="default" w:ascii="Times New Roman" w:hAnsi="Times New Roman" w:cs="Times New Roman"/>
                <w:iCs/>
                <w:color w:val="auto"/>
                <w:szCs w:val="21"/>
                <w:highlight w:val="none"/>
              </w:rPr>
            </w:pPr>
            <w:r>
              <w:rPr>
                <w:rFonts w:hint="eastAsia"/>
                <w:color w:val="000000"/>
                <w:lang w:val="en-US"/>
              </w:rPr>
              <w:t>0.11</w:t>
            </w:r>
          </w:p>
        </w:tc>
        <w:tc>
          <w:tcPr>
            <w:tcW w:w="462" w:type="pct"/>
            <w:noWrap w:val="0"/>
            <w:vAlign w:val="center"/>
          </w:tcPr>
          <w:p>
            <w:pPr>
              <w:adjustRightInd w:val="0"/>
              <w:snapToGrid w:val="0"/>
              <w:jc w:val="center"/>
              <w:rPr>
                <w:rFonts w:hint="default" w:ascii="Times New Roman" w:hAnsi="Times New Roman" w:cs="Times New Roman"/>
                <w:iCs/>
                <w:color w:val="auto"/>
                <w:szCs w:val="21"/>
                <w:highlight w:val="none"/>
              </w:rPr>
            </w:pPr>
            <w:r>
              <w:rPr>
                <w:rFonts w:hint="eastAsia"/>
                <w:color w:val="000000"/>
                <w:lang w:val="en-US"/>
              </w:rPr>
              <w:t>0.11</w:t>
            </w:r>
          </w:p>
        </w:tc>
        <w:tc>
          <w:tcPr>
            <w:tcW w:w="61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5"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51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1" w:type="pct"/>
            <w:noWrap w:val="0"/>
            <w:vAlign w:val="center"/>
          </w:tcPr>
          <w:p>
            <w:pPr>
              <w:adjustRightInd w:val="0"/>
              <w:snapToGrid w:val="0"/>
              <w:jc w:val="center"/>
              <w:rPr>
                <w:rFonts w:hint="default" w:ascii="Times New Roman" w:hAnsi="Times New Roman" w:cs="Times New Roman"/>
                <w:iCs/>
                <w:color w:val="auto"/>
                <w:szCs w:val="21"/>
                <w:highlight w:val="none"/>
              </w:rPr>
            </w:pPr>
            <w:r>
              <w:rPr>
                <w:rFonts w:hint="eastAsia"/>
                <w:color w:val="000000"/>
                <w:lang w:val="en-US"/>
              </w:rPr>
              <w:t>0.11</w:t>
            </w:r>
          </w:p>
        </w:tc>
        <w:tc>
          <w:tcPr>
            <w:tcW w:w="521"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continue"/>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p>
        </w:tc>
        <w:tc>
          <w:tcPr>
            <w:tcW w:w="708" w:type="pct"/>
            <w:noWrap w:val="0"/>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氨氮</w:t>
            </w:r>
          </w:p>
        </w:tc>
        <w:tc>
          <w:tcPr>
            <w:tcW w:w="530" w:type="pct"/>
            <w:noWrap w:val="0"/>
            <w:vAlign w:val="center"/>
          </w:tcPr>
          <w:p>
            <w:pPr>
              <w:pStyle w:val="103"/>
              <w:ind w:firstLine="0" w:firstLineChars="0"/>
              <w:rPr>
                <w:rFonts w:hint="default" w:ascii="Times New Roman" w:hAnsi="Times New Roman" w:cs="Times New Roman"/>
                <w:iCs/>
                <w:color w:val="auto"/>
                <w:szCs w:val="21"/>
                <w:highlight w:val="none"/>
              </w:rPr>
            </w:pPr>
            <w:r>
              <w:rPr>
                <w:rFonts w:hint="eastAsia"/>
                <w:color w:val="000000"/>
                <w:lang w:val="en-US"/>
              </w:rPr>
              <w:t>0.01</w:t>
            </w:r>
          </w:p>
        </w:tc>
        <w:tc>
          <w:tcPr>
            <w:tcW w:w="462" w:type="pct"/>
            <w:noWrap w:val="0"/>
            <w:vAlign w:val="center"/>
          </w:tcPr>
          <w:p>
            <w:pPr>
              <w:pStyle w:val="103"/>
              <w:ind w:firstLine="0" w:firstLineChars="0"/>
              <w:rPr>
                <w:rFonts w:hint="default" w:ascii="Times New Roman" w:hAnsi="Times New Roman" w:cs="Times New Roman"/>
                <w:iCs/>
                <w:color w:val="auto"/>
                <w:szCs w:val="21"/>
                <w:highlight w:val="none"/>
              </w:rPr>
            </w:pPr>
            <w:r>
              <w:rPr>
                <w:rFonts w:hint="eastAsia"/>
                <w:color w:val="000000"/>
                <w:lang w:val="en-US"/>
              </w:rPr>
              <w:t>0.01</w:t>
            </w:r>
          </w:p>
        </w:tc>
        <w:tc>
          <w:tcPr>
            <w:tcW w:w="61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565"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516"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11" w:type="pct"/>
            <w:noWrap w:val="0"/>
            <w:vAlign w:val="center"/>
          </w:tcPr>
          <w:p>
            <w:pPr>
              <w:pStyle w:val="103"/>
              <w:ind w:firstLine="0" w:firstLineChars="0"/>
              <w:rPr>
                <w:rFonts w:hint="default" w:ascii="Times New Roman" w:hAnsi="Times New Roman" w:cs="Times New Roman"/>
                <w:iCs/>
                <w:color w:val="auto"/>
                <w:szCs w:val="21"/>
                <w:highlight w:val="none"/>
              </w:rPr>
            </w:pPr>
            <w:r>
              <w:rPr>
                <w:rFonts w:hint="eastAsia"/>
                <w:color w:val="000000"/>
                <w:lang w:val="en-US"/>
              </w:rPr>
              <w:t>0.01</w:t>
            </w:r>
          </w:p>
        </w:tc>
        <w:tc>
          <w:tcPr>
            <w:tcW w:w="521" w:type="pc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restart"/>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一般工业</w:t>
            </w:r>
          </w:p>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固体废物</w:t>
            </w:r>
          </w:p>
        </w:tc>
        <w:tc>
          <w:tcPr>
            <w:tcW w:w="708" w:type="pct"/>
            <w:noWrap w:val="0"/>
            <w:vAlign w:val="center"/>
          </w:tcPr>
          <w:p>
            <w:pPr>
              <w:pStyle w:val="103"/>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生活</w:t>
            </w:r>
            <w:r>
              <w:rPr>
                <w:rFonts w:hint="default" w:ascii="Times New Roman" w:hAnsi="Times New Roman" w:cs="Times New Roman"/>
                <w:bCs/>
                <w:color w:val="auto"/>
                <w:szCs w:val="21"/>
                <w:highlight w:val="none"/>
                <w:lang w:val="en-US" w:eastAsia="zh-CN"/>
              </w:rPr>
              <w:t>垃圾</w:t>
            </w:r>
          </w:p>
        </w:tc>
        <w:tc>
          <w:tcPr>
            <w:tcW w:w="530"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24</w:t>
            </w:r>
          </w:p>
        </w:tc>
        <w:tc>
          <w:tcPr>
            <w:tcW w:w="462"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24</w:t>
            </w:r>
          </w:p>
        </w:tc>
        <w:tc>
          <w:tcPr>
            <w:tcW w:w="6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565"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c>
          <w:tcPr>
            <w:tcW w:w="5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611"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24</w:t>
            </w:r>
          </w:p>
        </w:tc>
        <w:tc>
          <w:tcPr>
            <w:tcW w:w="521"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continue"/>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p>
        </w:tc>
        <w:tc>
          <w:tcPr>
            <w:tcW w:w="708" w:type="pct"/>
            <w:noWrap w:val="0"/>
            <w:vAlign w:val="center"/>
          </w:tcPr>
          <w:p>
            <w:pPr>
              <w:pStyle w:val="103"/>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硅酸盐、钙盐以及钾的化合物等</w:t>
            </w:r>
          </w:p>
        </w:tc>
        <w:tc>
          <w:tcPr>
            <w:tcW w:w="530" w:type="pct"/>
            <w:noWrap w:val="0"/>
            <w:vAlign w:val="center"/>
          </w:tcPr>
          <w:p>
            <w:pPr>
              <w:jc w:val="center"/>
              <w:rPr>
                <w:rFonts w:hint="eastAsia"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805.2</w:t>
            </w:r>
          </w:p>
        </w:tc>
        <w:tc>
          <w:tcPr>
            <w:tcW w:w="462"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805.2</w:t>
            </w:r>
          </w:p>
        </w:tc>
        <w:tc>
          <w:tcPr>
            <w:tcW w:w="6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565" w:type="pct"/>
            <w:noWrap w:val="0"/>
            <w:vAlign w:val="center"/>
          </w:tcPr>
          <w:p>
            <w:pPr>
              <w:jc w:val="center"/>
              <w:rPr>
                <w:rFonts w:hint="eastAsia"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c>
          <w:tcPr>
            <w:tcW w:w="5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611" w:type="pct"/>
            <w:noWrap w:val="0"/>
            <w:vAlign w:val="center"/>
          </w:tcPr>
          <w:p>
            <w:pPr>
              <w:jc w:val="center"/>
              <w:rPr>
                <w:rFonts w:hint="eastAsia"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805.2</w:t>
            </w:r>
          </w:p>
        </w:tc>
        <w:tc>
          <w:tcPr>
            <w:tcW w:w="521"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continue"/>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p>
        </w:tc>
        <w:tc>
          <w:tcPr>
            <w:tcW w:w="708" w:type="pct"/>
            <w:noWrap w:val="0"/>
            <w:vAlign w:val="center"/>
          </w:tcPr>
          <w:p>
            <w:pPr>
              <w:pStyle w:val="103"/>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维修抹布</w:t>
            </w:r>
          </w:p>
        </w:tc>
        <w:tc>
          <w:tcPr>
            <w:tcW w:w="530"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1</w:t>
            </w:r>
          </w:p>
        </w:tc>
        <w:tc>
          <w:tcPr>
            <w:tcW w:w="462"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1</w:t>
            </w:r>
          </w:p>
        </w:tc>
        <w:tc>
          <w:tcPr>
            <w:tcW w:w="6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565"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c>
          <w:tcPr>
            <w:tcW w:w="5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611"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1</w:t>
            </w:r>
          </w:p>
        </w:tc>
        <w:tc>
          <w:tcPr>
            <w:tcW w:w="521"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vMerge w:val="continue"/>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p>
        </w:tc>
        <w:tc>
          <w:tcPr>
            <w:tcW w:w="708" w:type="pct"/>
            <w:noWrap w:val="0"/>
            <w:vAlign w:val="center"/>
          </w:tcPr>
          <w:p>
            <w:pPr>
              <w:pStyle w:val="103"/>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除尘粉尘</w:t>
            </w:r>
          </w:p>
        </w:tc>
        <w:tc>
          <w:tcPr>
            <w:tcW w:w="530"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c>
          <w:tcPr>
            <w:tcW w:w="462"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0</w:t>
            </w:r>
          </w:p>
        </w:tc>
        <w:tc>
          <w:tcPr>
            <w:tcW w:w="6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565"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cs="Times New Roman"/>
                <w:color w:val="auto"/>
                <w:sz w:val="21"/>
                <w:szCs w:val="21"/>
                <w:highlight w:val="none"/>
                <w:lang w:val="en-US" w:eastAsia="zh-CN"/>
              </w:rPr>
              <w:t>2117.02</w:t>
            </w:r>
          </w:p>
        </w:tc>
        <w:tc>
          <w:tcPr>
            <w:tcW w:w="516"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default" w:ascii="Times New Roman" w:hAnsi="Times New Roman" w:cs="Times New Roman"/>
                <w:snapToGrid w:val="0"/>
                <w:color w:val="auto"/>
                <w:kern w:val="0"/>
                <w:sz w:val="21"/>
                <w:szCs w:val="24"/>
                <w:highlight w:val="none"/>
                <w:lang w:val="en-US" w:eastAsia="zh-CN" w:bidi="ar-SA"/>
              </w:rPr>
              <w:t>/</w:t>
            </w:r>
          </w:p>
        </w:tc>
        <w:tc>
          <w:tcPr>
            <w:tcW w:w="611" w:type="pct"/>
            <w:noWrap w:val="0"/>
            <w:vAlign w:val="center"/>
          </w:tcPr>
          <w:p>
            <w:pPr>
              <w:jc w:val="center"/>
              <w:rPr>
                <w:rFonts w:hint="default" w:ascii="Times New Roman" w:hAnsi="Times New Roman" w:cs="Times New Roman"/>
                <w:snapToGrid w:val="0"/>
                <w:color w:val="auto"/>
                <w:kern w:val="0"/>
                <w:sz w:val="21"/>
                <w:szCs w:val="24"/>
                <w:highlight w:val="none"/>
                <w:lang w:val="en-US" w:eastAsia="zh-CN" w:bidi="ar-SA"/>
              </w:rPr>
            </w:pPr>
            <w:r>
              <w:rPr>
                <w:rFonts w:hint="eastAsia" w:cs="Times New Roman"/>
                <w:color w:val="auto"/>
                <w:sz w:val="21"/>
                <w:szCs w:val="21"/>
                <w:highlight w:val="none"/>
                <w:lang w:val="en-US" w:eastAsia="zh-CN"/>
              </w:rPr>
              <w:t>2117.02</w:t>
            </w:r>
          </w:p>
        </w:tc>
        <w:tc>
          <w:tcPr>
            <w:tcW w:w="521" w:type="pct"/>
            <w:noWrap w:val="0"/>
            <w:vAlign w:val="center"/>
          </w:tcPr>
          <w:p>
            <w:pPr>
              <w:jc w:val="center"/>
              <w:rPr>
                <w:rFonts w:hint="eastAsia" w:ascii="Times New Roman" w:hAnsi="Times New Roman" w:cs="Times New Roman"/>
                <w:snapToGrid w:val="0"/>
                <w:color w:val="auto"/>
                <w:kern w:val="0"/>
                <w:sz w:val="21"/>
                <w:szCs w:val="24"/>
                <w:highlight w:val="none"/>
                <w:lang w:val="en-US" w:eastAsia="zh-CN" w:bidi="ar-SA"/>
              </w:rPr>
            </w:pPr>
            <w:r>
              <w:rPr>
                <w:rFonts w:hint="default" w:ascii="Times New Roman" w:hAnsi="Times New Roman" w:eastAsia="宋体" w:cs="Times New Roman"/>
                <w:snapToGrid w:val="0"/>
                <w:color w:val="auto"/>
                <w:kern w:val="0"/>
                <w:sz w:val="21"/>
                <w:szCs w:val="24"/>
                <w:highlight w:val="none"/>
                <w:lang w:val="en-US" w:eastAsia="zh-CN" w:bidi="ar-SA"/>
              </w:rPr>
              <w:t>+</w:t>
            </w:r>
            <w:r>
              <w:rPr>
                <w:rFonts w:hint="eastAsia" w:cs="Times New Roman"/>
                <w:color w:val="auto"/>
                <w:sz w:val="21"/>
                <w:szCs w:val="21"/>
                <w:highlight w:val="none"/>
                <w:lang w:val="en-US" w:eastAsia="zh-CN"/>
              </w:rPr>
              <w:t>2117.02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67" w:type="pct"/>
            <w:noWrap w:val="0"/>
            <w:vAlign w:val="center"/>
          </w:tcPr>
          <w:p>
            <w:pPr>
              <w:adjustRightInd w:val="0"/>
              <w:snapToGrid w:val="0"/>
              <w:jc w:val="center"/>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危险废物</w:t>
            </w:r>
          </w:p>
        </w:tc>
        <w:tc>
          <w:tcPr>
            <w:tcW w:w="708" w:type="pct"/>
            <w:noWrap w:val="0"/>
            <w:vAlign w:val="center"/>
          </w:tcPr>
          <w:p>
            <w:pPr>
              <w:pStyle w:val="103"/>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废机油</w:t>
            </w:r>
          </w:p>
        </w:tc>
        <w:tc>
          <w:tcPr>
            <w:tcW w:w="530" w:type="pct"/>
            <w:noWrap w:val="0"/>
            <w:vAlign w:val="center"/>
          </w:tcPr>
          <w:p>
            <w:pPr>
              <w:pStyle w:val="103"/>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0.5</w:t>
            </w:r>
          </w:p>
        </w:tc>
        <w:tc>
          <w:tcPr>
            <w:tcW w:w="462" w:type="pct"/>
            <w:noWrap w:val="0"/>
            <w:vAlign w:val="center"/>
          </w:tcPr>
          <w:p>
            <w:pPr>
              <w:pStyle w:val="103"/>
              <w:rPr>
                <w:rFonts w:hint="default" w:ascii="Times New Roman" w:hAnsi="Times New Roman" w:eastAsia="宋体" w:cs="Times New Roman"/>
                <w:snapToGrid w:val="0"/>
                <w:color w:val="auto"/>
                <w:kern w:val="0"/>
                <w:sz w:val="21"/>
                <w:szCs w:val="24"/>
                <w:highlight w:val="none"/>
                <w:lang w:val="en-US" w:eastAsia="zh-CN" w:bidi="ar-SA"/>
              </w:rPr>
            </w:pPr>
            <w:r>
              <w:rPr>
                <w:rFonts w:hint="eastAsia" w:ascii="Times New Roman" w:hAnsi="Times New Roman" w:cs="Times New Roman"/>
                <w:bCs/>
                <w:color w:val="auto"/>
                <w:szCs w:val="21"/>
                <w:highlight w:val="none"/>
                <w:lang w:val="en-US" w:eastAsia="zh-CN"/>
              </w:rPr>
              <w:t>0.5</w:t>
            </w:r>
          </w:p>
        </w:tc>
        <w:tc>
          <w:tcPr>
            <w:tcW w:w="616" w:type="pct"/>
            <w:noWrap w:val="0"/>
            <w:vAlign w:val="center"/>
          </w:tcPr>
          <w:p>
            <w:pPr>
              <w:pStyle w:val="103"/>
              <w:rPr>
                <w:rFonts w:hint="default" w:ascii="Times New Roman" w:hAnsi="Times New Roman" w:eastAsia="宋体" w:cs="Times New Roman"/>
                <w:snapToGrid w:val="0"/>
                <w:color w:val="auto"/>
                <w:kern w:val="0"/>
                <w:sz w:val="21"/>
                <w:szCs w:val="24"/>
                <w:highlight w:val="none"/>
                <w:lang w:val="en-US" w:eastAsia="zh-CN" w:bidi="ar-SA"/>
              </w:rPr>
            </w:pPr>
            <w:r>
              <w:rPr>
                <w:rFonts w:hint="default" w:ascii="Times New Roman" w:hAnsi="Times New Roman" w:eastAsia="宋体" w:cs="Times New Roman"/>
                <w:snapToGrid w:val="0"/>
                <w:color w:val="auto"/>
                <w:kern w:val="0"/>
                <w:sz w:val="21"/>
                <w:szCs w:val="24"/>
                <w:highlight w:val="none"/>
                <w:lang w:val="en-US" w:eastAsia="zh-CN" w:bidi="ar-SA"/>
              </w:rPr>
              <w:t>/</w:t>
            </w:r>
          </w:p>
        </w:tc>
        <w:tc>
          <w:tcPr>
            <w:tcW w:w="565" w:type="pct"/>
            <w:noWrap w:val="0"/>
            <w:vAlign w:val="center"/>
          </w:tcPr>
          <w:p>
            <w:pPr>
              <w:pStyle w:val="103"/>
              <w:ind w:firstLine="0" w:firstLineChars="0"/>
              <w:rPr>
                <w:rFonts w:hint="default" w:ascii="Times New Roman" w:hAnsi="Times New Roman" w:eastAsia="宋体" w:cs="Times New Roman"/>
                <w:snapToGrid w:val="0"/>
                <w:color w:val="auto"/>
                <w:kern w:val="0"/>
                <w:sz w:val="21"/>
                <w:szCs w:val="24"/>
                <w:highlight w:val="none"/>
                <w:lang w:val="en-US" w:eastAsia="zh-CN" w:bidi="ar-SA"/>
              </w:rPr>
            </w:pPr>
            <w:r>
              <w:rPr>
                <w:rFonts w:hint="default" w:ascii="Times New Roman" w:hAnsi="Times New Roman" w:eastAsia="宋体" w:cs="Times New Roman"/>
                <w:snapToGrid w:val="0"/>
                <w:color w:val="auto"/>
                <w:kern w:val="0"/>
                <w:sz w:val="21"/>
                <w:szCs w:val="24"/>
                <w:highlight w:val="none"/>
                <w:lang w:val="en-US" w:eastAsia="zh-CN" w:bidi="ar-SA"/>
              </w:rPr>
              <w:t>0.</w:t>
            </w:r>
            <w:r>
              <w:rPr>
                <w:rFonts w:hint="eastAsia" w:ascii="Times New Roman" w:hAnsi="Times New Roman" w:cs="Times New Roman"/>
                <w:snapToGrid w:val="0"/>
                <w:color w:val="auto"/>
                <w:kern w:val="0"/>
                <w:sz w:val="21"/>
                <w:szCs w:val="24"/>
                <w:highlight w:val="none"/>
                <w:lang w:val="en-US" w:eastAsia="zh-CN" w:bidi="ar-SA"/>
              </w:rPr>
              <w:t>5</w:t>
            </w:r>
          </w:p>
        </w:tc>
        <w:tc>
          <w:tcPr>
            <w:tcW w:w="516" w:type="pct"/>
            <w:noWrap w:val="0"/>
            <w:vAlign w:val="center"/>
          </w:tcPr>
          <w:p>
            <w:pPr>
              <w:pStyle w:val="103"/>
              <w:rPr>
                <w:rFonts w:hint="default" w:ascii="Times New Roman" w:hAnsi="Times New Roman" w:eastAsia="宋体" w:cs="Times New Roman"/>
                <w:snapToGrid w:val="0"/>
                <w:color w:val="auto"/>
                <w:kern w:val="0"/>
                <w:sz w:val="21"/>
                <w:szCs w:val="24"/>
                <w:highlight w:val="none"/>
                <w:lang w:val="en-US" w:eastAsia="zh-CN" w:bidi="ar-SA"/>
              </w:rPr>
            </w:pPr>
            <w:r>
              <w:rPr>
                <w:rFonts w:hint="default" w:ascii="Times New Roman" w:hAnsi="Times New Roman" w:eastAsia="宋体" w:cs="Times New Roman"/>
                <w:snapToGrid w:val="0"/>
                <w:color w:val="auto"/>
                <w:kern w:val="0"/>
                <w:sz w:val="21"/>
                <w:szCs w:val="24"/>
                <w:highlight w:val="none"/>
                <w:lang w:val="en-US" w:eastAsia="zh-CN" w:bidi="ar-SA"/>
              </w:rPr>
              <w:t>/</w:t>
            </w:r>
          </w:p>
        </w:tc>
        <w:tc>
          <w:tcPr>
            <w:tcW w:w="611" w:type="pct"/>
            <w:noWrap w:val="0"/>
            <w:vAlign w:val="center"/>
          </w:tcPr>
          <w:p>
            <w:pPr>
              <w:pStyle w:val="103"/>
              <w:rPr>
                <w:rFonts w:hint="default" w:ascii="Times New Roman" w:hAnsi="Times New Roman" w:eastAsia="宋体" w:cs="Times New Roman"/>
                <w:snapToGrid w:val="0"/>
                <w:color w:val="auto"/>
                <w:kern w:val="0"/>
                <w:sz w:val="21"/>
                <w:szCs w:val="24"/>
                <w:highlight w:val="none"/>
                <w:lang w:val="en-US" w:eastAsia="zh-CN" w:bidi="ar-SA"/>
              </w:rPr>
            </w:pPr>
            <w:r>
              <w:rPr>
                <w:rFonts w:hint="eastAsia" w:ascii="Times New Roman" w:hAnsi="Times New Roman" w:cs="Times New Roman"/>
                <w:snapToGrid w:val="0"/>
                <w:color w:val="auto"/>
                <w:kern w:val="0"/>
                <w:sz w:val="21"/>
                <w:szCs w:val="24"/>
                <w:highlight w:val="none"/>
                <w:lang w:val="en-US" w:eastAsia="zh-CN" w:bidi="ar-SA"/>
              </w:rPr>
              <w:t>1</w:t>
            </w:r>
          </w:p>
        </w:tc>
        <w:tc>
          <w:tcPr>
            <w:tcW w:w="521" w:type="pct"/>
            <w:noWrap w:val="0"/>
            <w:vAlign w:val="center"/>
          </w:tcPr>
          <w:p>
            <w:pPr>
              <w:pStyle w:val="103"/>
              <w:ind w:firstLine="0" w:firstLineChars="0"/>
              <w:rPr>
                <w:rFonts w:hint="default" w:ascii="Times New Roman" w:hAnsi="Times New Roman" w:eastAsia="宋体" w:cs="Times New Roman"/>
                <w:snapToGrid w:val="0"/>
                <w:color w:val="auto"/>
                <w:kern w:val="0"/>
                <w:sz w:val="21"/>
                <w:szCs w:val="24"/>
                <w:highlight w:val="none"/>
                <w:lang w:val="en-US" w:eastAsia="zh-CN" w:bidi="ar-SA"/>
              </w:rPr>
            </w:pPr>
            <w:r>
              <w:rPr>
                <w:rFonts w:hint="default" w:ascii="Times New Roman" w:hAnsi="Times New Roman" w:eastAsia="宋体" w:cs="Times New Roman"/>
                <w:snapToGrid w:val="0"/>
                <w:color w:val="auto"/>
                <w:kern w:val="0"/>
                <w:sz w:val="21"/>
                <w:szCs w:val="24"/>
                <w:highlight w:val="none"/>
                <w:lang w:val="en-US" w:eastAsia="zh-CN" w:bidi="ar-SA"/>
              </w:rPr>
              <w:t>+0.</w:t>
            </w:r>
            <w:r>
              <w:rPr>
                <w:rFonts w:hint="eastAsia" w:ascii="Times New Roman" w:hAnsi="Times New Roman" w:cs="Times New Roman"/>
                <w:snapToGrid w:val="0"/>
                <w:color w:val="auto"/>
                <w:kern w:val="0"/>
                <w:sz w:val="21"/>
                <w:szCs w:val="24"/>
                <w:highlight w:val="none"/>
                <w:lang w:val="en-US" w:eastAsia="zh-CN" w:bidi="ar-SA"/>
              </w:rPr>
              <w:t>5</w:t>
            </w:r>
          </w:p>
        </w:tc>
      </w:tr>
    </w:tbl>
    <w:p>
      <w:pPr>
        <w:pStyle w:val="65"/>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sz w:val="21"/>
          <w:szCs w:val="21"/>
        </w:rPr>
        <w:t>t/a</w:t>
      </w:r>
      <w:r>
        <w:rPr>
          <w:rFonts w:hint="eastAsia"/>
          <w:color w:val="000000"/>
          <w:lang w:val="en-US"/>
        </w:rPr>
        <w:t>，氨氮排放量为</w:t>
      </w:r>
      <w:r>
        <w:rPr>
          <w:sz w:val="21"/>
          <w:szCs w:val="21"/>
        </w:rPr>
        <w:t>t/a</w:t>
      </w:r>
    </w:p>
    <w:p>
      <w:pPr>
        <w:keepNext w:val="0"/>
        <w:keepLines w:val="0"/>
        <w:pageBreakBefore w:val="0"/>
        <w:widowControl w:val="0"/>
        <w:kinsoku/>
        <w:wordWrap/>
        <w:topLinePunct w:val="0"/>
        <w:autoSpaceDE/>
        <w:autoSpaceDN/>
        <w:bidi w:val="0"/>
        <w:spacing w:line="360" w:lineRule="auto"/>
        <w:jc w:val="both"/>
        <w:textAlignment w:val="auto"/>
        <w:outlineLvl w:val="9"/>
        <w:rPr>
          <w:rFonts w:hint="eastAsia" w:ascii="宋体" w:hAnsi="宋体" w:eastAsia="宋体" w:cs="宋体"/>
          <w:color w:val="000000"/>
          <w:sz w:val="28"/>
          <w:szCs w:val="28"/>
          <w:lang w:val="en-US" w:eastAsia="zh-CN"/>
        </w:rPr>
      </w:pPr>
    </w:p>
    <w:sectPr>
      <w:headerReference r:id="rId5" w:type="default"/>
      <w:footerReference r:id="rId6" w:type="default"/>
      <w:pgSz w:w="16838" w:h="11906" w:orient="landscape"/>
      <w:pgMar w:top="1417" w:right="1417" w:bottom="1417" w:left="1417"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H8QG64QEAAMIDAAAOAAAA&#10;AAAAAAEAIAAAAB4BAABkcnMvZTJvRG9jLnhtbFBLBQYAAAAABgAGAFkBAABxBQAAAAA=&#10;">
              <v:fill on="f" focussize="0,0"/>
              <v:stroke on="f"/>
              <v:imagedata o:title=""/>
              <o:lock v:ext="edit" aspectratio="f"/>
              <v:textbox inset="0mm,0mm,0mm,0mm" style="mso-fit-shape-to-text:t;">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4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rFWqg4QEAAMIDAAAOAAAA&#10;AAAAAAEAIAAAAB4BAABkcnMvZTJvRG9jLnhtbFBLBQYAAAAABgAGAFkBAABxBQAAAAA=&#10;">
              <v:fill on="f" focussize="0,0"/>
              <v:stroke on="f"/>
              <v:imagedata o:title=""/>
              <o:lock v:ext="edit" aspectratio="f"/>
              <v:textbox inset="0mm,0mm,0mm,0mm" style="mso-fit-shape-to-text:t;">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none" w:color="auto" w:sz="0" w:space="1"/>
        <w:left w:val="none" w:color="auto" w:sz="0" w:space="4"/>
        <w:bottom w:val="none" w:color="auto" w:sz="0" w:space="1"/>
        <w:right w:val="none" w:color="auto" w:sz="0" w:space="4"/>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AAF77D"/>
    <w:multiLevelType w:val="singleLevel"/>
    <w:tmpl w:val="61AAF77D"/>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210"/>
  <w:drawingGridVerticalSpacing w:val="18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ZjNDIyZDIzZDhkNzBlYTMxYTgzOTgwN2E2NjYzOW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06F2"/>
    <w:rsid w:val="001B72B8"/>
    <w:rsid w:val="001C69B3"/>
    <w:rsid w:val="001D5595"/>
    <w:rsid w:val="001D7874"/>
    <w:rsid w:val="001D7F22"/>
    <w:rsid w:val="001F0C66"/>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A4644"/>
    <w:rsid w:val="002B49E2"/>
    <w:rsid w:val="002B7B00"/>
    <w:rsid w:val="002B7C44"/>
    <w:rsid w:val="002C2B17"/>
    <w:rsid w:val="002D3DD0"/>
    <w:rsid w:val="002E1F3A"/>
    <w:rsid w:val="002E298A"/>
    <w:rsid w:val="00301978"/>
    <w:rsid w:val="0030332C"/>
    <w:rsid w:val="003051C2"/>
    <w:rsid w:val="00312296"/>
    <w:rsid w:val="00314F0E"/>
    <w:rsid w:val="00316020"/>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5E15"/>
    <w:rsid w:val="00466321"/>
    <w:rsid w:val="00484B9B"/>
    <w:rsid w:val="004855F6"/>
    <w:rsid w:val="0048661E"/>
    <w:rsid w:val="00494670"/>
    <w:rsid w:val="004A3823"/>
    <w:rsid w:val="004A78B8"/>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7C96"/>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7A49B9"/>
    <w:rsid w:val="01D02F84"/>
    <w:rsid w:val="01D81394"/>
    <w:rsid w:val="02060BB8"/>
    <w:rsid w:val="0256223C"/>
    <w:rsid w:val="02697903"/>
    <w:rsid w:val="02C70A3E"/>
    <w:rsid w:val="02F96569"/>
    <w:rsid w:val="03065425"/>
    <w:rsid w:val="030F0A1C"/>
    <w:rsid w:val="036D1000"/>
    <w:rsid w:val="0395005C"/>
    <w:rsid w:val="03D231BF"/>
    <w:rsid w:val="03D35CF1"/>
    <w:rsid w:val="03EA7B21"/>
    <w:rsid w:val="041017BA"/>
    <w:rsid w:val="041C70C5"/>
    <w:rsid w:val="043F1C6F"/>
    <w:rsid w:val="04680A28"/>
    <w:rsid w:val="04922B21"/>
    <w:rsid w:val="04E14936"/>
    <w:rsid w:val="050D1E93"/>
    <w:rsid w:val="05282313"/>
    <w:rsid w:val="053E3D4A"/>
    <w:rsid w:val="05443AD0"/>
    <w:rsid w:val="055C2170"/>
    <w:rsid w:val="05824A08"/>
    <w:rsid w:val="059C61FC"/>
    <w:rsid w:val="059F5AFF"/>
    <w:rsid w:val="05BB1739"/>
    <w:rsid w:val="05BD22E6"/>
    <w:rsid w:val="05D414EF"/>
    <w:rsid w:val="05F70B95"/>
    <w:rsid w:val="05F83EAE"/>
    <w:rsid w:val="06020126"/>
    <w:rsid w:val="062757EF"/>
    <w:rsid w:val="063E7D85"/>
    <w:rsid w:val="064D2837"/>
    <w:rsid w:val="06627FF1"/>
    <w:rsid w:val="06D54E35"/>
    <w:rsid w:val="06DE2083"/>
    <w:rsid w:val="07084D52"/>
    <w:rsid w:val="07293586"/>
    <w:rsid w:val="07295285"/>
    <w:rsid w:val="075717FF"/>
    <w:rsid w:val="07636392"/>
    <w:rsid w:val="07770C56"/>
    <w:rsid w:val="07F0061D"/>
    <w:rsid w:val="08541A44"/>
    <w:rsid w:val="085948CC"/>
    <w:rsid w:val="08B9344D"/>
    <w:rsid w:val="090B4628"/>
    <w:rsid w:val="092217DD"/>
    <w:rsid w:val="093A7294"/>
    <w:rsid w:val="093E1BE2"/>
    <w:rsid w:val="0948242A"/>
    <w:rsid w:val="09491A0C"/>
    <w:rsid w:val="09793A88"/>
    <w:rsid w:val="0987605E"/>
    <w:rsid w:val="099649D3"/>
    <w:rsid w:val="09A848EA"/>
    <w:rsid w:val="09AD085E"/>
    <w:rsid w:val="09D22D54"/>
    <w:rsid w:val="09F630BE"/>
    <w:rsid w:val="0A0B024F"/>
    <w:rsid w:val="0A263993"/>
    <w:rsid w:val="0A2D3AC2"/>
    <w:rsid w:val="0A3F06EE"/>
    <w:rsid w:val="0A600D4F"/>
    <w:rsid w:val="0A691330"/>
    <w:rsid w:val="0A7E6563"/>
    <w:rsid w:val="0AA755DF"/>
    <w:rsid w:val="0B010DE1"/>
    <w:rsid w:val="0B120D44"/>
    <w:rsid w:val="0B6931FF"/>
    <w:rsid w:val="0B8A6552"/>
    <w:rsid w:val="0B940444"/>
    <w:rsid w:val="0BA03D88"/>
    <w:rsid w:val="0BBE02CB"/>
    <w:rsid w:val="0BC55087"/>
    <w:rsid w:val="0BD27BF6"/>
    <w:rsid w:val="0C016FF4"/>
    <w:rsid w:val="0C23256F"/>
    <w:rsid w:val="0C3B3C7D"/>
    <w:rsid w:val="0C5E5077"/>
    <w:rsid w:val="0CAB2EAE"/>
    <w:rsid w:val="0CC23507"/>
    <w:rsid w:val="0CF973FC"/>
    <w:rsid w:val="0D0A11ED"/>
    <w:rsid w:val="0D621C7D"/>
    <w:rsid w:val="0D815DD4"/>
    <w:rsid w:val="0DC47DDF"/>
    <w:rsid w:val="0DD8716A"/>
    <w:rsid w:val="0E0013EF"/>
    <w:rsid w:val="0E1D7D1B"/>
    <w:rsid w:val="0E73034D"/>
    <w:rsid w:val="0E83792A"/>
    <w:rsid w:val="0ECC461D"/>
    <w:rsid w:val="0EE12D90"/>
    <w:rsid w:val="0F13775A"/>
    <w:rsid w:val="0F5F45FE"/>
    <w:rsid w:val="0F600EC9"/>
    <w:rsid w:val="0F9A112B"/>
    <w:rsid w:val="10162E1F"/>
    <w:rsid w:val="10171D76"/>
    <w:rsid w:val="102C1E5A"/>
    <w:rsid w:val="10621349"/>
    <w:rsid w:val="106D2F64"/>
    <w:rsid w:val="106D4C24"/>
    <w:rsid w:val="109C66F4"/>
    <w:rsid w:val="10B63710"/>
    <w:rsid w:val="10D065D3"/>
    <w:rsid w:val="10F10820"/>
    <w:rsid w:val="110A0FCD"/>
    <w:rsid w:val="11122619"/>
    <w:rsid w:val="111C2F7A"/>
    <w:rsid w:val="112467C1"/>
    <w:rsid w:val="113917C7"/>
    <w:rsid w:val="11665CA1"/>
    <w:rsid w:val="1168372A"/>
    <w:rsid w:val="117144DC"/>
    <w:rsid w:val="11C723C1"/>
    <w:rsid w:val="121437A6"/>
    <w:rsid w:val="12723F3D"/>
    <w:rsid w:val="12F46B37"/>
    <w:rsid w:val="12FD4C4C"/>
    <w:rsid w:val="132047E0"/>
    <w:rsid w:val="1324680D"/>
    <w:rsid w:val="133673B3"/>
    <w:rsid w:val="136B167A"/>
    <w:rsid w:val="138C216B"/>
    <w:rsid w:val="13934A53"/>
    <w:rsid w:val="13951726"/>
    <w:rsid w:val="1395240B"/>
    <w:rsid w:val="13F33D8A"/>
    <w:rsid w:val="13F94948"/>
    <w:rsid w:val="14173424"/>
    <w:rsid w:val="14396509"/>
    <w:rsid w:val="143C442B"/>
    <w:rsid w:val="147C413C"/>
    <w:rsid w:val="14872EA7"/>
    <w:rsid w:val="14B94757"/>
    <w:rsid w:val="14DD2C3C"/>
    <w:rsid w:val="14E119D4"/>
    <w:rsid w:val="150A3AA1"/>
    <w:rsid w:val="15534146"/>
    <w:rsid w:val="15DC645B"/>
    <w:rsid w:val="16087E1D"/>
    <w:rsid w:val="164A576F"/>
    <w:rsid w:val="166242C9"/>
    <w:rsid w:val="168D7E90"/>
    <w:rsid w:val="168E7A22"/>
    <w:rsid w:val="168F35ED"/>
    <w:rsid w:val="169A01EB"/>
    <w:rsid w:val="169A7655"/>
    <w:rsid w:val="16DF12D5"/>
    <w:rsid w:val="17175F45"/>
    <w:rsid w:val="17701D14"/>
    <w:rsid w:val="17735226"/>
    <w:rsid w:val="17852842"/>
    <w:rsid w:val="17C438E0"/>
    <w:rsid w:val="17EA4941"/>
    <w:rsid w:val="182A6618"/>
    <w:rsid w:val="182C6DD7"/>
    <w:rsid w:val="18441407"/>
    <w:rsid w:val="186F788F"/>
    <w:rsid w:val="187644F2"/>
    <w:rsid w:val="189307F6"/>
    <w:rsid w:val="189D5626"/>
    <w:rsid w:val="189F624C"/>
    <w:rsid w:val="18AE1203"/>
    <w:rsid w:val="18EA6829"/>
    <w:rsid w:val="194D59DB"/>
    <w:rsid w:val="196A0499"/>
    <w:rsid w:val="199E09E0"/>
    <w:rsid w:val="19DB2D10"/>
    <w:rsid w:val="19E27BFB"/>
    <w:rsid w:val="1A1C66C0"/>
    <w:rsid w:val="1A42393B"/>
    <w:rsid w:val="1A526119"/>
    <w:rsid w:val="1A580AF6"/>
    <w:rsid w:val="1A7521A4"/>
    <w:rsid w:val="1AAD45DE"/>
    <w:rsid w:val="1AFA6510"/>
    <w:rsid w:val="1B046F80"/>
    <w:rsid w:val="1B24031D"/>
    <w:rsid w:val="1B3267B5"/>
    <w:rsid w:val="1B36548F"/>
    <w:rsid w:val="1B40161D"/>
    <w:rsid w:val="1B441859"/>
    <w:rsid w:val="1B6606B1"/>
    <w:rsid w:val="1B7456DA"/>
    <w:rsid w:val="1BE5021E"/>
    <w:rsid w:val="1BE76E40"/>
    <w:rsid w:val="1C5361AA"/>
    <w:rsid w:val="1C5D17BA"/>
    <w:rsid w:val="1C5E7925"/>
    <w:rsid w:val="1C8F7526"/>
    <w:rsid w:val="1C9646DB"/>
    <w:rsid w:val="1C9E3D80"/>
    <w:rsid w:val="1C9F7361"/>
    <w:rsid w:val="1CA564EA"/>
    <w:rsid w:val="1CFD070F"/>
    <w:rsid w:val="1D1566BD"/>
    <w:rsid w:val="1D2753B6"/>
    <w:rsid w:val="1D5F6196"/>
    <w:rsid w:val="1D6132A5"/>
    <w:rsid w:val="1D6F5658"/>
    <w:rsid w:val="1D8E56D5"/>
    <w:rsid w:val="1DFF2AE4"/>
    <w:rsid w:val="1E4904B6"/>
    <w:rsid w:val="1E7A43DA"/>
    <w:rsid w:val="1EDF6EE5"/>
    <w:rsid w:val="1EE85701"/>
    <w:rsid w:val="1F095E94"/>
    <w:rsid w:val="1F337392"/>
    <w:rsid w:val="1F456181"/>
    <w:rsid w:val="1FA41E54"/>
    <w:rsid w:val="1FA6791C"/>
    <w:rsid w:val="1FC31FEA"/>
    <w:rsid w:val="1FCE0DFF"/>
    <w:rsid w:val="1FCF74B6"/>
    <w:rsid w:val="1FDE0E64"/>
    <w:rsid w:val="1FE66CB2"/>
    <w:rsid w:val="1FE7539E"/>
    <w:rsid w:val="201726D6"/>
    <w:rsid w:val="202D5948"/>
    <w:rsid w:val="20671BE0"/>
    <w:rsid w:val="207B03D6"/>
    <w:rsid w:val="20963CB8"/>
    <w:rsid w:val="20A81A1B"/>
    <w:rsid w:val="20B07FB6"/>
    <w:rsid w:val="20B646FB"/>
    <w:rsid w:val="20BA0C5F"/>
    <w:rsid w:val="20BB4FA7"/>
    <w:rsid w:val="213B74B1"/>
    <w:rsid w:val="215A2310"/>
    <w:rsid w:val="21613F9D"/>
    <w:rsid w:val="216144EF"/>
    <w:rsid w:val="21DE318A"/>
    <w:rsid w:val="21EF5B80"/>
    <w:rsid w:val="22490C4E"/>
    <w:rsid w:val="22576990"/>
    <w:rsid w:val="22F47480"/>
    <w:rsid w:val="230E2FFA"/>
    <w:rsid w:val="234D7230"/>
    <w:rsid w:val="23646479"/>
    <w:rsid w:val="23674A86"/>
    <w:rsid w:val="237352E5"/>
    <w:rsid w:val="23922691"/>
    <w:rsid w:val="23AB4CAD"/>
    <w:rsid w:val="23DE1C48"/>
    <w:rsid w:val="240210CD"/>
    <w:rsid w:val="24BF09F7"/>
    <w:rsid w:val="24C80822"/>
    <w:rsid w:val="252D53FE"/>
    <w:rsid w:val="25380FBD"/>
    <w:rsid w:val="25704A66"/>
    <w:rsid w:val="25887DE9"/>
    <w:rsid w:val="25D47C91"/>
    <w:rsid w:val="25D508D4"/>
    <w:rsid w:val="25EC2D81"/>
    <w:rsid w:val="26235E9F"/>
    <w:rsid w:val="26362DEA"/>
    <w:rsid w:val="263A1C52"/>
    <w:rsid w:val="26427B3F"/>
    <w:rsid w:val="26552102"/>
    <w:rsid w:val="26750E39"/>
    <w:rsid w:val="268232EA"/>
    <w:rsid w:val="26875A24"/>
    <w:rsid w:val="26AB5818"/>
    <w:rsid w:val="26AF0B88"/>
    <w:rsid w:val="26E313D8"/>
    <w:rsid w:val="26F835C4"/>
    <w:rsid w:val="2727536C"/>
    <w:rsid w:val="2736649D"/>
    <w:rsid w:val="277057A2"/>
    <w:rsid w:val="278729A8"/>
    <w:rsid w:val="278B4825"/>
    <w:rsid w:val="27DD45D0"/>
    <w:rsid w:val="27E62E4A"/>
    <w:rsid w:val="27EC41B4"/>
    <w:rsid w:val="28226F0A"/>
    <w:rsid w:val="28422ECC"/>
    <w:rsid w:val="2845281F"/>
    <w:rsid w:val="2880287F"/>
    <w:rsid w:val="28AB2081"/>
    <w:rsid w:val="290A2CCA"/>
    <w:rsid w:val="290C4C94"/>
    <w:rsid w:val="29185364"/>
    <w:rsid w:val="29206EB8"/>
    <w:rsid w:val="29324F91"/>
    <w:rsid w:val="29437747"/>
    <w:rsid w:val="295012C5"/>
    <w:rsid w:val="29595666"/>
    <w:rsid w:val="29771EFF"/>
    <w:rsid w:val="29874881"/>
    <w:rsid w:val="29AE352D"/>
    <w:rsid w:val="29B92E13"/>
    <w:rsid w:val="29C10138"/>
    <w:rsid w:val="29E325E0"/>
    <w:rsid w:val="2A063491"/>
    <w:rsid w:val="2A2F69AF"/>
    <w:rsid w:val="2A3B7F38"/>
    <w:rsid w:val="2A452503"/>
    <w:rsid w:val="2A4D2619"/>
    <w:rsid w:val="2A593413"/>
    <w:rsid w:val="2A624DD7"/>
    <w:rsid w:val="2A664C8E"/>
    <w:rsid w:val="2A6939DA"/>
    <w:rsid w:val="2AB3667A"/>
    <w:rsid w:val="2AD64AA1"/>
    <w:rsid w:val="2B1A060F"/>
    <w:rsid w:val="2B3705F4"/>
    <w:rsid w:val="2B652EE6"/>
    <w:rsid w:val="2B732130"/>
    <w:rsid w:val="2BA936A8"/>
    <w:rsid w:val="2C180B0D"/>
    <w:rsid w:val="2C315A5A"/>
    <w:rsid w:val="2C324390"/>
    <w:rsid w:val="2C4B1C25"/>
    <w:rsid w:val="2C614D79"/>
    <w:rsid w:val="2C7B0855"/>
    <w:rsid w:val="2CAB7BE7"/>
    <w:rsid w:val="2CDF42C4"/>
    <w:rsid w:val="2D112958"/>
    <w:rsid w:val="2D261B8A"/>
    <w:rsid w:val="2D38451C"/>
    <w:rsid w:val="2D740139"/>
    <w:rsid w:val="2D9E56F5"/>
    <w:rsid w:val="2DCE1CCF"/>
    <w:rsid w:val="2E667F96"/>
    <w:rsid w:val="2E8226AB"/>
    <w:rsid w:val="2EB94C4A"/>
    <w:rsid w:val="2F123CE7"/>
    <w:rsid w:val="2F1C01E6"/>
    <w:rsid w:val="2F406628"/>
    <w:rsid w:val="2F6F5637"/>
    <w:rsid w:val="2FD065E6"/>
    <w:rsid w:val="2FD96870"/>
    <w:rsid w:val="300264A9"/>
    <w:rsid w:val="30580BC9"/>
    <w:rsid w:val="30E24E26"/>
    <w:rsid w:val="30EF6553"/>
    <w:rsid w:val="311E2ED7"/>
    <w:rsid w:val="31373C04"/>
    <w:rsid w:val="315619EE"/>
    <w:rsid w:val="315C449C"/>
    <w:rsid w:val="318C4BC4"/>
    <w:rsid w:val="31B82709"/>
    <w:rsid w:val="31C4322E"/>
    <w:rsid w:val="31D05482"/>
    <w:rsid w:val="31F42D03"/>
    <w:rsid w:val="31F7769C"/>
    <w:rsid w:val="32026D31"/>
    <w:rsid w:val="322D4698"/>
    <w:rsid w:val="3231112D"/>
    <w:rsid w:val="32400B34"/>
    <w:rsid w:val="324636EA"/>
    <w:rsid w:val="325924D1"/>
    <w:rsid w:val="326B7ABC"/>
    <w:rsid w:val="32781CB3"/>
    <w:rsid w:val="328B1A4B"/>
    <w:rsid w:val="329E6876"/>
    <w:rsid w:val="32AC1C47"/>
    <w:rsid w:val="32BB5D7C"/>
    <w:rsid w:val="33154745"/>
    <w:rsid w:val="331A7FAD"/>
    <w:rsid w:val="333015F2"/>
    <w:rsid w:val="33305A23"/>
    <w:rsid w:val="333854A6"/>
    <w:rsid w:val="334B6320"/>
    <w:rsid w:val="339E722D"/>
    <w:rsid w:val="33D934D4"/>
    <w:rsid w:val="33DB598F"/>
    <w:rsid w:val="33FE2F6A"/>
    <w:rsid w:val="34086058"/>
    <w:rsid w:val="340E07E5"/>
    <w:rsid w:val="3415696D"/>
    <w:rsid w:val="341C25CA"/>
    <w:rsid w:val="34235BF7"/>
    <w:rsid w:val="34290CC6"/>
    <w:rsid w:val="344315CD"/>
    <w:rsid w:val="346E745A"/>
    <w:rsid w:val="34846AFC"/>
    <w:rsid w:val="34864161"/>
    <w:rsid w:val="34BA1016"/>
    <w:rsid w:val="34D648E1"/>
    <w:rsid w:val="34DC319B"/>
    <w:rsid w:val="34E55713"/>
    <w:rsid w:val="34ED11BE"/>
    <w:rsid w:val="35186426"/>
    <w:rsid w:val="353F2261"/>
    <w:rsid w:val="354F04AA"/>
    <w:rsid w:val="358C5FA8"/>
    <w:rsid w:val="35B804D1"/>
    <w:rsid w:val="35C15DF1"/>
    <w:rsid w:val="35DC66ED"/>
    <w:rsid w:val="35EF0949"/>
    <w:rsid w:val="35FF3E64"/>
    <w:rsid w:val="36013AFD"/>
    <w:rsid w:val="36074A7F"/>
    <w:rsid w:val="36116105"/>
    <w:rsid w:val="36341AE3"/>
    <w:rsid w:val="364A41C6"/>
    <w:rsid w:val="36710D9B"/>
    <w:rsid w:val="367A57CB"/>
    <w:rsid w:val="36886F5C"/>
    <w:rsid w:val="36923549"/>
    <w:rsid w:val="36AF6387"/>
    <w:rsid w:val="36B129D7"/>
    <w:rsid w:val="36B75FBF"/>
    <w:rsid w:val="36BD0C45"/>
    <w:rsid w:val="36E138A2"/>
    <w:rsid w:val="370563F7"/>
    <w:rsid w:val="370723ED"/>
    <w:rsid w:val="372D4C9E"/>
    <w:rsid w:val="37347323"/>
    <w:rsid w:val="3768578B"/>
    <w:rsid w:val="37E00298"/>
    <w:rsid w:val="381E5341"/>
    <w:rsid w:val="384A4E91"/>
    <w:rsid w:val="385404A8"/>
    <w:rsid w:val="38B302F9"/>
    <w:rsid w:val="38E30E42"/>
    <w:rsid w:val="38F12CD3"/>
    <w:rsid w:val="38F94775"/>
    <w:rsid w:val="392971ED"/>
    <w:rsid w:val="39325651"/>
    <w:rsid w:val="394A0445"/>
    <w:rsid w:val="39617FFD"/>
    <w:rsid w:val="3A2A4F7A"/>
    <w:rsid w:val="3A872856"/>
    <w:rsid w:val="3AAF1923"/>
    <w:rsid w:val="3ABD075D"/>
    <w:rsid w:val="3AC054C4"/>
    <w:rsid w:val="3AC977CC"/>
    <w:rsid w:val="3AD02CFB"/>
    <w:rsid w:val="3AFE4CD1"/>
    <w:rsid w:val="3B361D95"/>
    <w:rsid w:val="3B3763D1"/>
    <w:rsid w:val="3B567FF1"/>
    <w:rsid w:val="3BC07948"/>
    <w:rsid w:val="3BDA652C"/>
    <w:rsid w:val="3BEB2563"/>
    <w:rsid w:val="3C113D2A"/>
    <w:rsid w:val="3C1F59E6"/>
    <w:rsid w:val="3C2F6E1E"/>
    <w:rsid w:val="3C336228"/>
    <w:rsid w:val="3C4F64BA"/>
    <w:rsid w:val="3CA25BA8"/>
    <w:rsid w:val="3CCF35F6"/>
    <w:rsid w:val="3CD07DF9"/>
    <w:rsid w:val="3CDA245A"/>
    <w:rsid w:val="3D1E06B7"/>
    <w:rsid w:val="3D4B4685"/>
    <w:rsid w:val="3D4B5E89"/>
    <w:rsid w:val="3DF8512B"/>
    <w:rsid w:val="3E101D62"/>
    <w:rsid w:val="3EDA0523"/>
    <w:rsid w:val="3EDC26C5"/>
    <w:rsid w:val="3EDD6C3D"/>
    <w:rsid w:val="3F353F7C"/>
    <w:rsid w:val="3FAD4601"/>
    <w:rsid w:val="3FC914CF"/>
    <w:rsid w:val="3FDE1B23"/>
    <w:rsid w:val="3FE948EB"/>
    <w:rsid w:val="40130DFB"/>
    <w:rsid w:val="404901B8"/>
    <w:rsid w:val="404B4713"/>
    <w:rsid w:val="407A6407"/>
    <w:rsid w:val="408D67CC"/>
    <w:rsid w:val="40A50368"/>
    <w:rsid w:val="40F7546D"/>
    <w:rsid w:val="41051582"/>
    <w:rsid w:val="411D2E99"/>
    <w:rsid w:val="413701E1"/>
    <w:rsid w:val="413C53B0"/>
    <w:rsid w:val="41704DDA"/>
    <w:rsid w:val="41A43918"/>
    <w:rsid w:val="41F66A63"/>
    <w:rsid w:val="4200449D"/>
    <w:rsid w:val="42117EF0"/>
    <w:rsid w:val="421E498A"/>
    <w:rsid w:val="42332590"/>
    <w:rsid w:val="423A3BCC"/>
    <w:rsid w:val="423A78AB"/>
    <w:rsid w:val="424E57D2"/>
    <w:rsid w:val="42786FFA"/>
    <w:rsid w:val="4289309A"/>
    <w:rsid w:val="42971943"/>
    <w:rsid w:val="429F76C0"/>
    <w:rsid w:val="42B26C49"/>
    <w:rsid w:val="42D671F1"/>
    <w:rsid w:val="42F80FB1"/>
    <w:rsid w:val="431A089D"/>
    <w:rsid w:val="433A6FE6"/>
    <w:rsid w:val="43480868"/>
    <w:rsid w:val="4350713C"/>
    <w:rsid w:val="436653E0"/>
    <w:rsid w:val="4369520C"/>
    <w:rsid w:val="43C4431A"/>
    <w:rsid w:val="43F72B9D"/>
    <w:rsid w:val="440315DB"/>
    <w:rsid w:val="442A143D"/>
    <w:rsid w:val="44304B02"/>
    <w:rsid w:val="44436C3F"/>
    <w:rsid w:val="44871968"/>
    <w:rsid w:val="44B951CC"/>
    <w:rsid w:val="44CD14E0"/>
    <w:rsid w:val="44CE5628"/>
    <w:rsid w:val="44F20B0B"/>
    <w:rsid w:val="44F91C64"/>
    <w:rsid w:val="452E5F4C"/>
    <w:rsid w:val="45612018"/>
    <w:rsid w:val="458946E9"/>
    <w:rsid w:val="45A47C0E"/>
    <w:rsid w:val="45C3245B"/>
    <w:rsid w:val="45C73FC5"/>
    <w:rsid w:val="45EF4C25"/>
    <w:rsid w:val="46193871"/>
    <w:rsid w:val="46201D5B"/>
    <w:rsid w:val="463158E2"/>
    <w:rsid w:val="46577FD6"/>
    <w:rsid w:val="46945F61"/>
    <w:rsid w:val="46D955A7"/>
    <w:rsid w:val="46E13CC1"/>
    <w:rsid w:val="4712301E"/>
    <w:rsid w:val="47133957"/>
    <w:rsid w:val="47250A55"/>
    <w:rsid w:val="475F5624"/>
    <w:rsid w:val="479C387A"/>
    <w:rsid w:val="47A07E0C"/>
    <w:rsid w:val="47B23B8D"/>
    <w:rsid w:val="4839282C"/>
    <w:rsid w:val="4870272E"/>
    <w:rsid w:val="48912668"/>
    <w:rsid w:val="489D0015"/>
    <w:rsid w:val="489F5289"/>
    <w:rsid w:val="48C972E9"/>
    <w:rsid w:val="48E6193D"/>
    <w:rsid w:val="48ED237B"/>
    <w:rsid w:val="490B65B7"/>
    <w:rsid w:val="4911366B"/>
    <w:rsid w:val="496617A5"/>
    <w:rsid w:val="49CB682F"/>
    <w:rsid w:val="49DC7715"/>
    <w:rsid w:val="4A023139"/>
    <w:rsid w:val="4A045068"/>
    <w:rsid w:val="4A0A5ADC"/>
    <w:rsid w:val="4A3E0897"/>
    <w:rsid w:val="4A684A2E"/>
    <w:rsid w:val="4A6E571A"/>
    <w:rsid w:val="4A792707"/>
    <w:rsid w:val="4A7B576F"/>
    <w:rsid w:val="4A813375"/>
    <w:rsid w:val="4AD106DD"/>
    <w:rsid w:val="4AF561A9"/>
    <w:rsid w:val="4B0C5FAB"/>
    <w:rsid w:val="4B0F1172"/>
    <w:rsid w:val="4B105AC6"/>
    <w:rsid w:val="4B524287"/>
    <w:rsid w:val="4B9958C3"/>
    <w:rsid w:val="4B9C1A50"/>
    <w:rsid w:val="4BA3475D"/>
    <w:rsid w:val="4BB83A36"/>
    <w:rsid w:val="4BBA2371"/>
    <w:rsid w:val="4BC51ABA"/>
    <w:rsid w:val="4BC63401"/>
    <w:rsid w:val="4BE01B77"/>
    <w:rsid w:val="4C373CF9"/>
    <w:rsid w:val="4C4479D7"/>
    <w:rsid w:val="4C4A0649"/>
    <w:rsid w:val="4C4E2178"/>
    <w:rsid w:val="4C7E5ECA"/>
    <w:rsid w:val="4C8039ED"/>
    <w:rsid w:val="4C876AA5"/>
    <w:rsid w:val="4C8B244F"/>
    <w:rsid w:val="4C910A5D"/>
    <w:rsid w:val="4CA53CE0"/>
    <w:rsid w:val="4CDB68EF"/>
    <w:rsid w:val="4D0E00FB"/>
    <w:rsid w:val="4D176606"/>
    <w:rsid w:val="4DA55297"/>
    <w:rsid w:val="4DD252B5"/>
    <w:rsid w:val="4DEC4FB0"/>
    <w:rsid w:val="4DF63BD1"/>
    <w:rsid w:val="4E075D8A"/>
    <w:rsid w:val="4E101382"/>
    <w:rsid w:val="4E2951ED"/>
    <w:rsid w:val="4E4F4FB7"/>
    <w:rsid w:val="4E891C36"/>
    <w:rsid w:val="4EA842BA"/>
    <w:rsid w:val="4EBF2112"/>
    <w:rsid w:val="4EC00FAD"/>
    <w:rsid w:val="4EC37D86"/>
    <w:rsid w:val="4EE42A8C"/>
    <w:rsid w:val="4EE72146"/>
    <w:rsid w:val="4F19120A"/>
    <w:rsid w:val="4F4C1ABA"/>
    <w:rsid w:val="4F517859"/>
    <w:rsid w:val="4F6E725F"/>
    <w:rsid w:val="4F9843DC"/>
    <w:rsid w:val="4FC62A8C"/>
    <w:rsid w:val="4FE13812"/>
    <w:rsid w:val="4FE20F0D"/>
    <w:rsid w:val="4FE51552"/>
    <w:rsid w:val="4FFF145B"/>
    <w:rsid w:val="50454315"/>
    <w:rsid w:val="50504C4B"/>
    <w:rsid w:val="506D5769"/>
    <w:rsid w:val="509C6E7C"/>
    <w:rsid w:val="509E5B66"/>
    <w:rsid w:val="51185B0A"/>
    <w:rsid w:val="5162104E"/>
    <w:rsid w:val="519B7135"/>
    <w:rsid w:val="51CF00DD"/>
    <w:rsid w:val="51E172B8"/>
    <w:rsid w:val="522877B2"/>
    <w:rsid w:val="525422D7"/>
    <w:rsid w:val="52566DC5"/>
    <w:rsid w:val="52615C2F"/>
    <w:rsid w:val="52A13837"/>
    <w:rsid w:val="52E93A38"/>
    <w:rsid w:val="53A039CC"/>
    <w:rsid w:val="53A1505A"/>
    <w:rsid w:val="54063E08"/>
    <w:rsid w:val="54297BF9"/>
    <w:rsid w:val="543061E1"/>
    <w:rsid w:val="543437E8"/>
    <w:rsid w:val="545809DB"/>
    <w:rsid w:val="54F73313"/>
    <w:rsid w:val="54F80955"/>
    <w:rsid w:val="554C5757"/>
    <w:rsid w:val="555170A7"/>
    <w:rsid w:val="55696993"/>
    <w:rsid w:val="5587536D"/>
    <w:rsid w:val="55954D8E"/>
    <w:rsid w:val="559612BE"/>
    <w:rsid w:val="559B174B"/>
    <w:rsid w:val="55CE0CF4"/>
    <w:rsid w:val="55F30A83"/>
    <w:rsid w:val="5606797F"/>
    <w:rsid w:val="56091D3A"/>
    <w:rsid w:val="561E2B03"/>
    <w:rsid w:val="56737851"/>
    <w:rsid w:val="569B75FB"/>
    <w:rsid w:val="56B22A9C"/>
    <w:rsid w:val="56C1155E"/>
    <w:rsid w:val="56EB1340"/>
    <w:rsid w:val="577D2735"/>
    <w:rsid w:val="57881761"/>
    <w:rsid w:val="57B72A76"/>
    <w:rsid w:val="57BB1155"/>
    <w:rsid w:val="57C33533"/>
    <w:rsid w:val="57C3426C"/>
    <w:rsid w:val="57CE1F93"/>
    <w:rsid w:val="57D31F0B"/>
    <w:rsid w:val="57FC0987"/>
    <w:rsid w:val="58152DE3"/>
    <w:rsid w:val="5865090A"/>
    <w:rsid w:val="587A0FF3"/>
    <w:rsid w:val="588743D1"/>
    <w:rsid w:val="5887701A"/>
    <w:rsid w:val="58946E3F"/>
    <w:rsid w:val="58A610DF"/>
    <w:rsid w:val="58B25161"/>
    <w:rsid w:val="58DB3CC8"/>
    <w:rsid w:val="59076AA4"/>
    <w:rsid w:val="59AB5998"/>
    <w:rsid w:val="59C0439F"/>
    <w:rsid w:val="59ED2BE4"/>
    <w:rsid w:val="59FB5B93"/>
    <w:rsid w:val="5A077A24"/>
    <w:rsid w:val="5A427FFB"/>
    <w:rsid w:val="5A5F0B23"/>
    <w:rsid w:val="5A684473"/>
    <w:rsid w:val="5AAD1584"/>
    <w:rsid w:val="5ABE2233"/>
    <w:rsid w:val="5AD47F0C"/>
    <w:rsid w:val="5AFE2180"/>
    <w:rsid w:val="5B120982"/>
    <w:rsid w:val="5B59169F"/>
    <w:rsid w:val="5BDF5D95"/>
    <w:rsid w:val="5BE22121"/>
    <w:rsid w:val="5BFE7528"/>
    <w:rsid w:val="5C3B0B5D"/>
    <w:rsid w:val="5C5A591D"/>
    <w:rsid w:val="5D046307"/>
    <w:rsid w:val="5D2B2C34"/>
    <w:rsid w:val="5D733FEF"/>
    <w:rsid w:val="5D771EA1"/>
    <w:rsid w:val="5D92680F"/>
    <w:rsid w:val="5DB6290C"/>
    <w:rsid w:val="5E067356"/>
    <w:rsid w:val="5E2467F1"/>
    <w:rsid w:val="5E406828"/>
    <w:rsid w:val="5E48479E"/>
    <w:rsid w:val="5E5C3C65"/>
    <w:rsid w:val="5E6007EF"/>
    <w:rsid w:val="5E613807"/>
    <w:rsid w:val="5E9F17FE"/>
    <w:rsid w:val="5EC66BD7"/>
    <w:rsid w:val="5F1A2B43"/>
    <w:rsid w:val="5F2B53D3"/>
    <w:rsid w:val="5F677FA9"/>
    <w:rsid w:val="5F8F74AA"/>
    <w:rsid w:val="5FB837BB"/>
    <w:rsid w:val="5FED68C9"/>
    <w:rsid w:val="5FEF7232"/>
    <w:rsid w:val="602E07CE"/>
    <w:rsid w:val="60402552"/>
    <w:rsid w:val="60440525"/>
    <w:rsid w:val="60AA7FDC"/>
    <w:rsid w:val="60CC405A"/>
    <w:rsid w:val="60FE37A1"/>
    <w:rsid w:val="61360B86"/>
    <w:rsid w:val="61425320"/>
    <w:rsid w:val="614C045E"/>
    <w:rsid w:val="61803962"/>
    <w:rsid w:val="618F3AA5"/>
    <w:rsid w:val="61B9080E"/>
    <w:rsid w:val="61E215D8"/>
    <w:rsid w:val="61F35E51"/>
    <w:rsid w:val="61FA2788"/>
    <w:rsid w:val="621B3775"/>
    <w:rsid w:val="62364782"/>
    <w:rsid w:val="62522FED"/>
    <w:rsid w:val="62662018"/>
    <w:rsid w:val="62C90F25"/>
    <w:rsid w:val="62D6501A"/>
    <w:rsid w:val="62DA4EE0"/>
    <w:rsid w:val="62DD5199"/>
    <w:rsid w:val="62E46F41"/>
    <w:rsid w:val="62F353D6"/>
    <w:rsid w:val="630B30C7"/>
    <w:rsid w:val="631B1793"/>
    <w:rsid w:val="632541E3"/>
    <w:rsid w:val="63525E43"/>
    <w:rsid w:val="636F4664"/>
    <w:rsid w:val="636F647D"/>
    <w:rsid w:val="63883AC0"/>
    <w:rsid w:val="6394356A"/>
    <w:rsid w:val="63953F68"/>
    <w:rsid w:val="63C61B2C"/>
    <w:rsid w:val="63D40BE9"/>
    <w:rsid w:val="64102431"/>
    <w:rsid w:val="64472AF6"/>
    <w:rsid w:val="64867BD5"/>
    <w:rsid w:val="649A78D0"/>
    <w:rsid w:val="64A5243A"/>
    <w:rsid w:val="64F531DE"/>
    <w:rsid w:val="650E2596"/>
    <w:rsid w:val="651A0A38"/>
    <w:rsid w:val="65297A59"/>
    <w:rsid w:val="65373578"/>
    <w:rsid w:val="657418C5"/>
    <w:rsid w:val="65872838"/>
    <w:rsid w:val="658C2864"/>
    <w:rsid w:val="65EB54C6"/>
    <w:rsid w:val="660047F9"/>
    <w:rsid w:val="66073A56"/>
    <w:rsid w:val="66165227"/>
    <w:rsid w:val="662B5A52"/>
    <w:rsid w:val="66725F2F"/>
    <w:rsid w:val="667E4648"/>
    <w:rsid w:val="671F124A"/>
    <w:rsid w:val="67251AAF"/>
    <w:rsid w:val="675872E5"/>
    <w:rsid w:val="67595E2D"/>
    <w:rsid w:val="67763899"/>
    <w:rsid w:val="67767AEF"/>
    <w:rsid w:val="677A33C6"/>
    <w:rsid w:val="678B49FB"/>
    <w:rsid w:val="67967B9F"/>
    <w:rsid w:val="67D40309"/>
    <w:rsid w:val="681F6961"/>
    <w:rsid w:val="682646A9"/>
    <w:rsid w:val="68610A2F"/>
    <w:rsid w:val="68805514"/>
    <w:rsid w:val="68BD794C"/>
    <w:rsid w:val="69056194"/>
    <w:rsid w:val="6928242E"/>
    <w:rsid w:val="69316E2F"/>
    <w:rsid w:val="694E2071"/>
    <w:rsid w:val="69766163"/>
    <w:rsid w:val="697A3B33"/>
    <w:rsid w:val="69BD799F"/>
    <w:rsid w:val="69C0397E"/>
    <w:rsid w:val="69CD706E"/>
    <w:rsid w:val="69D44760"/>
    <w:rsid w:val="6A0933F8"/>
    <w:rsid w:val="6A0F7793"/>
    <w:rsid w:val="6A3876C4"/>
    <w:rsid w:val="6A4C0A9D"/>
    <w:rsid w:val="6A520EC7"/>
    <w:rsid w:val="6AA00713"/>
    <w:rsid w:val="6AB44861"/>
    <w:rsid w:val="6ADD486E"/>
    <w:rsid w:val="6AE76BB6"/>
    <w:rsid w:val="6AF87E20"/>
    <w:rsid w:val="6B016D82"/>
    <w:rsid w:val="6B1F0DC7"/>
    <w:rsid w:val="6B322639"/>
    <w:rsid w:val="6BA9260B"/>
    <w:rsid w:val="6BBF4C5B"/>
    <w:rsid w:val="6BDD18FA"/>
    <w:rsid w:val="6BF75DA0"/>
    <w:rsid w:val="6C136D6D"/>
    <w:rsid w:val="6C636C38"/>
    <w:rsid w:val="6C7F22D8"/>
    <w:rsid w:val="6CE52B9E"/>
    <w:rsid w:val="6D2B697B"/>
    <w:rsid w:val="6DB34098"/>
    <w:rsid w:val="6DB545B6"/>
    <w:rsid w:val="6DE02FB4"/>
    <w:rsid w:val="6DE504DF"/>
    <w:rsid w:val="6E07056F"/>
    <w:rsid w:val="6E08115A"/>
    <w:rsid w:val="6E206B9C"/>
    <w:rsid w:val="6E514CED"/>
    <w:rsid w:val="6E6F34BB"/>
    <w:rsid w:val="6E844578"/>
    <w:rsid w:val="6EAF69D6"/>
    <w:rsid w:val="6EB563D5"/>
    <w:rsid w:val="6ED92677"/>
    <w:rsid w:val="6EDA7F99"/>
    <w:rsid w:val="6F225983"/>
    <w:rsid w:val="6F3B7A83"/>
    <w:rsid w:val="6F856A98"/>
    <w:rsid w:val="6F8825AF"/>
    <w:rsid w:val="6F9E013F"/>
    <w:rsid w:val="6FFC5590"/>
    <w:rsid w:val="705A5D0D"/>
    <w:rsid w:val="706D1DD0"/>
    <w:rsid w:val="70856B87"/>
    <w:rsid w:val="70C40946"/>
    <w:rsid w:val="70D527EE"/>
    <w:rsid w:val="70E42014"/>
    <w:rsid w:val="71167997"/>
    <w:rsid w:val="71565105"/>
    <w:rsid w:val="715B5300"/>
    <w:rsid w:val="7190090F"/>
    <w:rsid w:val="719C6B0E"/>
    <w:rsid w:val="719E17CE"/>
    <w:rsid w:val="71D27F8A"/>
    <w:rsid w:val="71F9635F"/>
    <w:rsid w:val="72100BF5"/>
    <w:rsid w:val="72553024"/>
    <w:rsid w:val="725D3437"/>
    <w:rsid w:val="72C37E9A"/>
    <w:rsid w:val="72EB0BBB"/>
    <w:rsid w:val="730F572B"/>
    <w:rsid w:val="73122968"/>
    <w:rsid w:val="731F5D5E"/>
    <w:rsid w:val="733C2252"/>
    <w:rsid w:val="734B0566"/>
    <w:rsid w:val="735E6DA3"/>
    <w:rsid w:val="737248FC"/>
    <w:rsid w:val="73C51AD5"/>
    <w:rsid w:val="741E793C"/>
    <w:rsid w:val="74270EEE"/>
    <w:rsid w:val="743547C3"/>
    <w:rsid w:val="745E3944"/>
    <w:rsid w:val="74640A69"/>
    <w:rsid w:val="74924308"/>
    <w:rsid w:val="749B2B75"/>
    <w:rsid w:val="74B00CF5"/>
    <w:rsid w:val="74C45689"/>
    <w:rsid w:val="74D42EC5"/>
    <w:rsid w:val="74D91BB5"/>
    <w:rsid w:val="74DB7D12"/>
    <w:rsid w:val="75906211"/>
    <w:rsid w:val="75A31E98"/>
    <w:rsid w:val="75AA6813"/>
    <w:rsid w:val="75FA5A59"/>
    <w:rsid w:val="7635099D"/>
    <w:rsid w:val="76A7687B"/>
    <w:rsid w:val="76EC05CA"/>
    <w:rsid w:val="76F811E6"/>
    <w:rsid w:val="7765253D"/>
    <w:rsid w:val="77762421"/>
    <w:rsid w:val="777D1E86"/>
    <w:rsid w:val="77B56B1F"/>
    <w:rsid w:val="77B60E42"/>
    <w:rsid w:val="77CF0E80"/>
    <w:rsid w:val="77DF2506"/>
    <w:rsid w:val="780521C3"/>
    <w:rsid w:val="780F09F4"/>
    <w:rsid w:val="78247AC8"/>
    <w:rsid w:val="785A445E"/>
    <w:rsid w:val="7871046B"/>
    <w:rsid w:val="78752505"/>
    <w:rsid w:val="78A831B1"/>
    <w:rsid w:val="78A90480"/>
    <w:rsid w:val="78B40932"/>
    <w:rsid w:val="7931020D"/>
    <w:rsid w:val="79585803"/>
    <w:rsid w:val="795E4920"/>
    <w:rsid w:val="79703A51"/>
    <w:rsid w:val="79816F60"/>
    <w:rsid w:val="79BD4007"/>
    <w:rsid w:val="7A104289"/>
    <w:rsid w:val="7A276B54"/>
    <w:rsid w:val="7A364017"/>
    <w:rsid w:val="7A564ACA"/>
    <w:rsid w:val="7A8265E1"/>
    <w:rsid w:val="7B191F33"/>
    <w:rsid w:val="7B4D01F5"/>
    <w:rsid w:val="7B5B5B85"/>
    <w:rsid w:val="7B686D42"/>
    <w:rsid w:val="7B81145E"/>
    <w:rsid w:val="7B841746"/>
    <w:rsid w:val="7C1121F3"/>
    <w:rsid w:val="7C2618E8"/>
    <w:rsid w:val="7C5F1B5A"/>
    <w:rsid w:val="7C6C5AC7"/>
    <w:rsid w:val="7C807817"/>
    <w:rsid w:val="7CA60AFA"/>
    <w:rsid w:val="7CBC51FE"/>
    <w:rsid w:val="7CC6544B"/>
    <w:rsid w:val="7CE741C4"/>
    <w:rsid w:val="7D0239FF"/>
    <w:rsid w:val="7D5E40CD"/>
    <w:rsid w:val="7D627B54"/>
    <w:rsid w:val="7D7F66FC"/>
    <w:rsid w:val="7DB46AD9"/>
    <w:rsid w:val="7DCD56F2"/>
    <w:rsid w:val="7E3142BD"/>
    <w:rsid w:val="7EC52BE0"/>
    <w:rsid w:val="7EE958E7"/>
    <w:rsid w:val="7EEC4A6B"/>
    <w:rsid w:val="7EFA7F08"/>
    <w:rsid w:val="7F001CE7"/>
    <w:rsid w:val="7F56360E"/>
    <w:rsid w:val="7F694108"/>
    <w:rsid w:val="7FC924E0"/>
    <w:rsid w:val="7FE01204"/>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widowControl w:val="0"/>
      <w:adjustRightInd w:val="0"/>
      <w:snapToGrid w:val="0"/>
      <w:spacing w:beforeLines="100" w:afterLines="50"/>
      <w:jc w:val="both"/>
      <w:outlineLvl w:val="1"/>
    </w:pPr>
    <w:rPr>
      <w:rFonts w:ascii="黑体" w:eastAsia="黑体"/>
      <w:snapToGrid w:val="0"/>
      <w:sz w:val="30"/>
    </w:rPr>
  </w:style>
  <w:style w:type="paragraph" w:styleId="5">
    <w:name w:val="heading 3"/>
    <w:basedOn w:val="1"/>
    <w:next w:val="1"/>
    <w:qFormat/>
    <w:locked/>
    <w:uiPriority w:val="0"/>
    <w:pPr>
      <w:widowControl w:val="0"/>
      <w:adjustRightInd w:val="0"/>
      <w:snapToGrid w:val="0"/>
      <w:spacing w:beforeLines="50" w:after="100" w:afterAutospacing="1" w:line="360" w:lineRule="auto"/>
      <w:outlineLvl w:val="2"/>
    </w:pPr>
    <w:rPr>
      <w:rFonts w:eastAsia="黑体"/>
      <w:snapToGrid w:val="0"/>
      <w:sz w:val="28"/>
    </w:rPr>
  </w:style>
  <w:style w:type="paragraph" w:styleId="6">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105"/>
    <w:qFormat/>
    <w:locked/>
    <w:uiPriority w:val="0"/>
    <w:pPr>
      <w:keepNext/>
      <w:keepLines/>
      <w:tabs>
        <w:tab w:val="left" w:pos="1008"/>
      </w:tabs>
      <w:spacing w:line="360" w:lineRule="auto"/>
      <w:ind w:firstLine="480" w:firstLineChars="200"/>
      <w:jc w:val="both"/>
      <w:outlineLvl w:val="4"/>
    </w:pPr>
    <w:rPr>
      <w:bCs/>
      <w:kern w:val="2"/>
      <w:sz w:val="24"/>
      <w:szCs w:val="28"/>
      <w:lang w:val="en-US" w:eastAsia="zh-CN" w:bidi="ar-SA"/>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2">
    <w:name w:val="Body Text"/>
    <w:basedOn w:val="1"/>
    <w:next w:val="1"/>
    <w:link w:val="49"/>
    <w:qFormat/>
    <w:uiPriority w:val="0"/>
    <w:pPr>
      <w:widowControl/>
      <w:snapToGrid w:val="0"/>
      <w:spacing w:before="60" w:after="160" w:line="259" w:lineRule="auto"/>
      <w:ind w:right="113"/>
    </w:pPr>
    <w:rPr>
      <w:kern w:val="0"/>
      <w:sz w:val="18"/>
      <w:szCs w:val="20"/>
    </w:rPr>
  </w:style>
  <w:style w:type="paragraph" w:styleId="8">
    <w:name w:val="toc 7"/>
    <w:basedOn w:val="1"/>
    <w:next w:val="1"/>
    <w:qFormat/>
    <w:locked/>
    <w:uiPriority w:val="0"/>
    <w:pPr>
      <w:widowControl w:val="0"/>
      <w:adjustRightInd w:val="0"/>
      <w:snapToGrid w:val="0"/>
      <w:ind w:left="2520" w:leftChars="1200"/>
      <w:jc w:val="both"/>
    </w:pPr>
    <w:rPr>
      <w:kern w:val="2"/>
      <w:sz w:val="21"/>
      <w:szCs w:val="24"/>
    </w:rPr>
  </w:style>
  <w:style w:type="paragraph" w:styleId="9">
    <w:name w:val="Note Heading"/>
    <w:basedOn w:val="1"/>
    <w:next w:val="1"/>
    <w:qFormat/>
    <w:locked/>
    <w:uiPriority w:val="0"/>
    <w:pPr>
      <w:jc w:val="left"/>
    </w:pPr>
  </w:style>
  <w:style w:type="paragraph" w:styleId="10">
    <w:name w:val="Normal Indent"/>
    <w:basedOn w:val="1"/>
    <w:next w:val="11"/>
    <w:link w:val="46"/>
    <w:qFormat/>
    <w:locked/>
    <w:uiPriority w:val="0"/>
    <w:pPr>
      <w:widowControl w:val="0"/>
      <w:ind w:firstLine="567"/>
      <w:jc w:val="both"/>
    </w:pPr>
  </w:style>
  <w:style w:type="paragraph" w:styleId="11">
    <w:name w:val="toc 1"/>
    <w:basedOn w:val="1"/>
    <w:next w:val="1"/>
    <w:qFormat/>
    <w:locked/>
    <w:uiPriority w:val="0"/>
  </w:style>
  <w:style w:type="paragraph" w:styleId="12">
    <w:name w:val="Document Map"/>
    <w:basedOn w:val="1"/>
    <w:link w:val="47"/>
    <w:qFormat/>
    <w:locked/>
    <w:uiPriority w:val="0"/>
    <w:rPr>
      <w:rFonts w:ascii="宋体"/>
      <w:sz w:val="18"/>
      <w:szCs w:val="18"/>
    </w:rPr>
  </w:style>
  <w:style w:type="paragraph" w:styleId="13">
    <w:name w:val="annotation text"/>
    <w:basedOn w:val="1"/>
    <w:link w:val="48"/>
    <w:semiHidden/>
    <w:qFormat/>
    <w:uiPriority w:val="0"/>
    <w:pPr>
      <w:jc w:val="left"/>
    </w:pPr>
    <w:rPr>
      <w:kern w:val="0"/>
      <w:sz w:val="24"/>
      <w:szCs w:val="20"/>
    </w:rPr>
  </w:style>
  <w:style w:type="paragraph" w:styleId="14">
    <w:name w:val="Body Text Indent"/>
    <w:basedOn w:val="1"/>
    <w:next w:val="15"/>
    <w:link w:val="50"/>
    <w:qFormat/>
    <w:uiPriority w:val="0"/>
    <w:pPr>
      <w:spacing w:after="120"/>
      <w:ind w:left="420" w:leftChars="200"/>
    </w:pPr>
    <w:rPr>
      <w:kern w:val="0"/>
      <w:sz w:val="24"/>
      <w:szCs w:val="20"/>
    </w:rPr>
  </w:style>
  <w:style w:type="paragraph" w:styleId="15">
    <w:name w:val="Body Text Indent 2"/>
    <w:basedOn w:val="1"/>
    <w:next w:val="16"/>
    <w:qFormat/>
    <w:locked/>
    <w:uiPriority w:val="0"/>
    <w:pPr>
      <w:spacing w:after="120" w:afterLines="0" w:line="480" w:lineRule="auto"/>
      <w:ind w:left="420" w:leftChars="200"/>
    </w:pPr>
  </w:style>
  <w:style w:type="paragraph" w:styleId="16">
    <w:name w:val="Body Text First Indent 2"/>
    <w:basedOn w:val="14"/>
    <w:next w:val="1"/>
    <w:qFormat/>
    <w:locked/>
    <w:uiPriority w:val="0"/>
    <w:pPr>
      <w:ind w:firstLine="420" w:firstLineChars="200"/>
    </w:pPr>
  </w:style>
  <w:style w:type="paragraph" w:styleId="17">
    <w:name w:val="Block Text"/>
    <w:basedOn w:val="1"/>
    <w:qFormat/>
    <w:locked/>
    <w:uiPriority w:val="0"/>
    <w:pPr>
      <w:adjustRightInd w:val="0"/>
      <w:spacing w:line="360" w:lineRule="atLeast"/>
      <w:ind w:left="120" w:right="120" w:firstLine="480"/>
      <w:jc w:val="left"/>
      <w:textAlignment w:val="baseline"/>
    </w:pPr>
    <w:rPr>
      <w:rFonts w:ascii="宋体"/>
      <w:kern w:val="0"/>
      <w:sz w:val="28"/>
      <w:szCs w:val="20"/>
    </w:rPr>
  </w:style>
  <w:style w:type="paragraph" w:styleId="18">
    <w:name w:val="toc 5"/>
    <w:basedOn w:val="1"/>
    <w:next w:val="1"/>
    <w:qFormat/>
    <w:locked/>
    <w:uiPriority w:val="0"/>
    <w:pPr>
      <w:ind w:left="1680" w:leftChars="800"/>
    </w:pPr>
  </w:style>
  <w:style w:type="paragraph" w:styleId="19">
    <w:name w:val="toc 3"/>
    <w:basedOn w:val="1"/>
    <w:next w:val="1"/>
    <w:qFormat/>
    <w:locked/>
    <w:uiPriority w:val="0"/>
    <w:pPr>
      <w:ind w:left="840" w:leftChars="400"/>
    </w:pPr>
  </w:style>
  <w:style w:type="paragraph" w:styleId="20">
    <w:name w:val="Plain Text"/>
    <w:basedOn w:val="1"/>
    <w:next w:val="17"/>
    <w:qFormat/>
    <w:locked/>
    <w:uiPriority w:val="0"/>
    <w:pPr>
      <w:widowControl w:val="0"/>
      <w:jc w:val="both"/>
    </w:pPr>
    <w:rPr>
      <w:rFonts w:ascii="宋体" w:hAnsi="Courier New" w:cs="宋体"/>
      <w:kern w:val="44"/>
      <w:sz w:val="21"/>
      <w:szCs w:val="21"/>
    </w:rPr>
  </w:style>
  <w:style w:type="paragraph" w:styleId="21">
    <w:name w:val="Date"/>
    <w:basedOn w:val="1"/>
    <w:next w:val="1"/>
    <w:link w:val="51"/>
    <w:qFormat/>
    <w:uiPriority w:val="0"/>
    <w:pPr>
      <w:ind w:left="100" w:leftChars="2500"/>
    </w:pPr>
    <w:rPr>
      <w:kern w:val="0"/>
      <w:sz w:val="24"/>
      <w:szCs w:val="20"/>
    </w:rPr>
  </w:style>
  <w:style w:type="paragraph" w:styleId="22">
    <w:name w:val="Balloon Text"/>
    <w:basedOn w:val="1"/>
    <w:link w:val="52"/>
    <w:semiHidden/>
    <w:qFormat/>
    <w:uiPriority w:val="0"/>
    <w:rPr>
      <w:kern w:val="0"/>
      <w:sz w:val="18"/>
      <w:szCs w:val="20"/>
    </w:rPr>
  </w:style>
  <w:style w:type="paragraph" w:styleId="23">
    <w:name w:val="footer"/>
    <w:basedOn w:val="1"/>
    <w:link w:val="53"/>
    <w:qFormat/>
    <w:uiPriority w:val="99"/>
    <w:pPr>
      <w:tabs>
        <w:tab w:val="center" w:pos="4153"/>
        <w:tab w:val="right" w:pos="8306"/>
      </w:tabs>
      <w:snapToGrid w:val="0"/>
      <w:jc w:val="left"/>
    </w:pPr>
    <w:rPr>
      <w:kern w:val="0"/>
      <w:sz w:val="18"/>
      <w:szCs w:val="20"/>
    </w:rPr>
  </w:style>
  <w:style w:type="paragraph" w:styleId="24">
    <w:name w:val="header"/>
    <w:basedOn w:val="1"/>
    <w:link w:val="54"/>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4"/>
    <w:basedOn w:val="1"/>
    <w:next w:val="1"/>
    <w:qFormat/>
    <w:locked/>
    <w:uiPriority w:val="0"/>
    <w:pPr>
      <w:ind w:left="1260" w:leftChars="600"/>
    </w:pPr>
  </w:style>
  <w:style w:type="paragraph" w:styleId="26">
    <w:name w:val="toc 2"/>
    <w:basedOn w:val="1"/>
    <w:next w:val="1"/>
    <w:qFormat/>
    <w:locked/>
    <w:uiPriority w:val="0"/>
    <w:pPr>
      <w:ind w:left="420" w:leftChars="200"/>
    </w:pPr>
  </w:style>
  <w:style w:type="paragraph" w:styleId="27">
    <w:name w:val="Body Text 2"/>
    <w:basedOn w:val="1"/>
    <w:qFormat/>
    <w:locked/>
    <w:uiPriority w:val="0"/>
    <w:pPr>
      <w:spacing w:after="120" w:line="480" w:lineRule="auto"/>
    </w:pPr>
    <w:rPr>
      <w:rFonts w:ascii="Times New Roman" w:hAnsi="Times New Roman" w:cs="Times New Roman"/>
    </w:rPr>
  </w:style>
  <w:style w:type="paragraph" w:styleId="28">
    <w:name w:val="Message Header"/>
    <w:basedOn w:val="1"/>
    <w:qFormat/>
    <w:locked/>
    <w:uiPriority w:val="0"/>
    <w:pPr>
      <w:keepLines/>
      <w:widowControl/>
      <w:tabs>
        <w:tab w:val="left" w:pos="0"/>
        <w:tab w:val="left" w:pos="1134"/>
        <w:tab w:val="left" w:pos="8505"/>
      </w:tabs>
      <w:overflowPunct w:val="0"/>
      <w:autoSpaceDE w:val="0"/>
      <w:autoSpaceDN w:val="0"/>
      <w:ind w:left="1987" w:right="2880" w:hanging="1267"/>
    </w:pPr>
    <w:rPr>
      <w:rFonts w:ascii="Courier New" w:hAnsi="Courier New"/>
    </w:rPr>
  </w:style>
  <w:style w:type="paragraph" w:styleId="29">
    <w:name w:val="Normal (Web)"/>
    <w:basedOn w:val="1"/>
    <w:link w:val="55"/>
    <w:qFormat/>
    <w:uiPriority w:val="0"/>
    <w:pPr>
      <w:widowControl/>
      <w:spacing w:before="100" w:beforeAutospacing="1" w:after="100" w:afterAutospacing="1"/>
      <w:jc w:val="left"/>
    </w:pPr>
    <w:rPr>
      <w:rFonts w:ascii="宋体" w:hAnsi="宋体"/>
      <w:kern w:val="0"/>
      <w:sz w:val="24"/>
      <w:szCs w:val="20"/>
    </w:rPr>
  </w:style>
  <w:style w:type="paragraph" w:styleId="30">
    <w:name w:val="Title"/>
    <w:basedOn w:val="1"/>
    <w:next w:val="1"/>
    <w:qFormat/>
    <w:locked/>
    <w:uiPriority w:val="0"/>
    <w:pPr>
      <w:adjustRightInd w:val="0"/>
      <w:spacing w:before="240" w:after="60" w:line="420" w:lineRule="atLeast"/>
      <w:jc w:val="center"/>
      <w:textAlignment w:val="baseline"/>
      <w:outlineLvl w:val="0"/>
    </w:pPr>
    <w:rPr>
      <w:rFonts w:ascii="Arial" w:hAnsi="Arial"/>
      <w:b/>
      <w:kern w:val="0"/>
      <w:sz w:val="32"/>
    </w:rPr>
  </w:style>
  <w:style w:type="paragraph" w:styleId="31">
    <w:name w:val="annotation subject"/>
    <w:basedOn w:val="13"/>
    <w:next w:val="13"/>
    <w:link w:val="56"/>
    <w:semiHidden/>
    <w:qFormat/>
    <w:uiPriority w:val="0"/>
    <w:rPr>
      <w:b/>
      <w:kern w:val="2"/>
    </w:rPr>
  </w:style>
  <w:style w:type="paragraph" w:styleId="32">
    <w:name w:val="Body Text First Indent"/>
    <w:basedOn w:val="2"/>
    <w:next w:val="1"/>
    <w:unhideWhenUsed/>
    <w:qFormat/>
    <w:locked/>
    <w:uiPriority w:val="99"/>
    <w:pPr>
      <w:spacing w:after="120" w:afterLines="0"/>
      <w:ind w:firstLine="420" w:firstLineChars="100"/>
    </w:pPr>
    <w:rPr>
      <w:sz w:val="28"/>
      <w:szCs w:val="24"/>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locked/>
    <w:uiPriority w:val="0"/>
    <w:rPr>
      <w:b/>
    </w:rPr>
  </w:style>
  <w:style w:type="character" w:styleId="37">
    <w:name w:val="page number"/>
    <w:basedOn w:val="35"/>
    <w:qFormat/>
    <w:locked/>
    <w:uiPriority w:val="0"/>
  </w:style>
  <w:style w:type="character" w:styleId="38">
    <w:name w:val="Emphasis"/>
    <w:basedOn w:val="35"/>
    <w:qFormat/>
    <w:locked/>
    <w:uiPriority w:val="0"/>
    <w:rPr>
      <w:i/>
    </w:rPr>
  </w:style>
  <w:style w:type="character" w:styleId="39">
    <w:name w:val="Hyperlink"/>
    <w:basedOn w:val="35"/>
    <w:qFormat/>
    <w:locked/>
    <w:uiPriority w:val="0"/>
    <w:rPr>
      <w:color w:val="0000FF"/>
      <w:u w:val="single"/>
    </w:rPr>
  </w:style>
  <w:style w:type="character" w:styleId="40">
    <w:name w:val="annotation reference"/>
    <w:semiHidden/>
    <w:qFormat/>
    <w:uiPriority w:val="0"/>
    <w:rPr>
      <w:sz w:val="21"/>
    </w:rPr>
  </w:style>
  <w:style w:type="paragraph" w:customStyle="1" w:styleId="41">
    <w:name w:val="Default"/>
    <w:basedOn w:val="42"/>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2">
    <w:name w:val="a四级标题"/>
    <w:basedOn w:val="1"/>
    <w:qFormat/>
    <w:uiPriority w:val="0"/>
    <w:pPr>
      <w:spacing w:line="360" w:lineRule="auto"/>
    </w:pPr>
    <w:rPr>
      <w:b/>
    </w:rPr>
  </w:style>
  <w:style w:type="paragraph" w:customStyle="1" w:styleId="43">
    <w:name w:val="一级aaa"/>
    <w:basedOn w:val="3"/>
    <w:next w:val="1"/>
    <w:qFormat/>
    <w:uiPriority w:val="0"/>
    <w:pPr>
      <w:keepNext w:val="0"/>
      <w:keepLines w:val="0"/>
      <w:widowControl w:val="0"/>
      <w:adjustRightInd w:val="0"/>
      <w:snapToGrid w:val="0"/>
      <w:spacing w:before="100" w:beforeLines="100" w:after="100" w:afterLines="100" w:line="360" w:lineRule="auto"/>
    </w:pPr>
    <w:rPr>
      <w:sz w:val="32"/>
    </w:rPr>
  </w:style>
  <w:style w:type="paragraph" w:customStyle="1" w:styleId="44">
    <w:name w:val="表格内容"/>
    <w:basedOn w:val="1"/>
    <w:next w:val="1"/>
    <w:qFormat/>
    <w:uiPriority w:val="0"/>
    <w:pPr>
      <w:spacing w:line="340" w:lineRule="exact"/>
      <w:jc w:val="center"/>
    </w:pPr>
    <w:rPr>
      <w:iCs/>
      <w:sz w:val="21"/>
      <w:szCs w:val="21"/>
    </w:rPr>
  </w:style>
  <w:style w:type="paragraph" w:customStyle="1" w:styleId="45">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character" w:customStyle="1" w:styleId="46">
    <w:name w:val="正文缩进 Char"/>
    <w:link w:val="10"/>
    <w:qFormat/>
    <w:uiPriority w:val="0"/>
    <w:rPr>
      <w:kern w:val="2"/>
      <w:sz w:val="21"/>
      <w:szCs w:val="24"/>
    </w:rPr>
  </w:style>
  <w:style w:type="character" w:customStyle="1" w:styleId="47">
    <w:name w:val="文档结构图 Char"/>
    <w:basedOn w:val="35"/>
    <w:link w:val="12"/>
    <w:qFormat/>
    <w:uiPriority w:val="0"/>
    <w:rPr>
      <w:rFonts w:ascii="宋体"/>
      <w:kern w:val="2"/>
      <w:sz w:val="18"/>
      <w:szCs w:val="18"/>
    </w:rPr>
  </w:style>
  <w:style w:type="character" w:customStyle="1" w:styleId="48">
    <w:name w:val="批注文字 Char"/>
    <w:link w:val="13"/>
    <w:qFormat/>
    <w:locked/>
    <w:uiPriority w:val="0"/>
    <w:rPr>
      <w:rFonts w:ascii="Times New Roman" w:hAnsi="Times New Roman" w:eastAsia="宋体"/>
      <w:sz w:val="24"/>
    </w:rPr>
  </w:style>
  <w:style w:type="character" w:customStyle="1" w:styleId="49">
    <w:name w:val="正文文本 Char"/>
    <w:link w:val="2"/>
    <w:qFormat/>
    <w:locked/>
    <w:uiPriority w:val="0"/>
    <w:rPr>
      <w:sz w:val="18"/>
    </w:rPr>
  </w:style>
  <w:style w:type="character" w:customStyle="1" w:styleId="50">
    <w:name w:val="正文文本缩进 Char"/>
    <w:link w:val="14"/>
    <w:semiHidden/>
    <w:qFormat/>
    <w:locked/>
    <w:uiPriority w:val="0"/>
    <w:rPr>
      <w:rFonts w:ascii="Times New Roman" w:hAnsi="Times New Roman" w:eastAsia="宋体"/>
      <w:sz w:val="24"/>
    </w:rPr>
  </w:style>
  <w:style w:type="character" w:customStyle="1" w:styleId="51">
    <w:name w:val="日期 Char"/>
    <w:link w:val="21"/>
    <w:qFormat/>
    <w:locked/>
    <w:uiPriority w:val="0"/>
    <w:rPr>
      <w:rFonts w:ascii="Times New Roman" w:hAnsi="Times New Roman" w:eastAsia="宋体"/>
      <w:sz w:val="24"/>
    </w:rPr>
  </w:style>
  <w:style w:type="character" w:customStyle="1" w:styleId="52">
    <w:name w:val="批注框文本 Char"/>
    <w:link w:val="22"/>
    <w:semiHidden/>
    <w:qFormat/>
    <w:locked/>
    <w:uiPriority w:val="0"/>
    <w:rPr>
      <w:rFonts w:ascii="Times New Roman" w:hAnsi="Times New Roman" w:eastAsia="宋体"/>
      <w:sz w:val="18"/>
    </w:rPr>
  </w:style>
  <w:style w:type="character" w:customStyle="1" w:styleId="53">
    <w:name w:val="页脚 Char"/>
    <w:link w:val="23"/>
    <w:qFormat/>
    <w:locked/>
    <w:uiPriority w:val="99"/>
    <w:rPr>
      <w:sz w:val="18"/>
    </w:rPr>
  </w:style>
  <w:style w:type="character" w:customStyle="1" w:styleId="54">
    <w:name w:val="页眉 Char"/>
    <w:link w:val="24"/>
    <w:qFormat/>
    <w:locked/>
    <w:uiPriority w:val="0"/>
    <w:rPr>
      <w:sz w:val="18"/>
    </w:rPr>
  </w:style>
  <w:style w:type="character" w:customStyle="1" w:styleId="55">
    <w:name w:val="普通(网站) Char"/>
    <w:link w:val="29"/>
    <w:qFormat/>
    <w:locked/>
    <w:uiPriority w:val="0"/>
    <w:rPr>
      <w:rFonts w:ascii="宋体" w:hAnsi="宋体" w:eastAsia="宋体"/>
      <w:sz w:val="24"/>
    </w:rPr>
  </w:style>
  <w:style w:type="character" w:customStyle="1" w:styleId="56">
    <w:name w:val="批注主题 Char"/>
    <w:link w:val="31"/>
    <w:semiHidden/>
    <w:qFormat/>
    <w:locked/>
    <w:uiPriority w:val="0"/>
    <w:rPr>
      <w:rFonts w:ascii="Times New Roman" w:hAnsi="Times New Roman" w:eastAsia="宋体"/>
      <w:b/>
      <w:kern w:val="2"/>
      <w:sz w:val="24"/>
    </w:rPr>
  </w:style>
  <w:style w:type="character" w:customStyle="1" w:styleId="57">
    <w:name w:val="font21"/>
    <w:basedOn w:val="35"/>
    <w:qFormat/>
    <w:uiPriority w:val="0"/>
    <w:rPr>
      <w:rFonts w:hint="eastAsia" w:ascii="宋体" w:hAnsi="宋体" w:eastAsia="宋体" w:cs="宋体"/>
      <w:color w:val="000000"/>
      <w:sz w:val="21"/>
      <w:szCs w:val="21"/>
      <w:u w:val="none"/>
    </w:rPr>
  </w:style>
  <w:style w:type="character" w:customStyle="1" w:styleId="58">
    <w:name w:val="页脚 字符"/>
    <w:basedOn w:val="35"/>
    <w:qFormat/>
    <w:uiPriority w:val="99"/>
  </w:style>
  <w:style w:type="character" w:customStyle="1" w:styleId="59">
    <w:name w:val="日期 字符"/>
    <w:semiHidden/>
    <w:qFormat/>
    <w:uiPriority w:val="0"/>
    <w:rPr>
      <w:rFonts w:ascii="Times New Roman" w:hAnsi="Times New Roman" w:eastAsia="宋体"/>
      <w:sz w:val="24"/>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font51"/>
    <w:basedOn w:val="35"/>
    <w:qFormat/>
    <w:uiPriority w:val="0"/>
    <w:rPr>
      <w:rFonts w:hint="eastAsia" w:ascii="宋体" w:hAnsi="宋体" w:eastAsia="宋体" w:cs="宋体"/>
      <w:b/>
      <w:color w:val="000000"/>
      <w:sz w:val="21"/>
      <w:szCs w:val="21"/>
      <w:u w:val="none"/>
    </w:rPr>
  </w:style>
  <w:style w:type="character" w:customStyle="1" w:styleId="62">
    <w:name w:val="font41"/>
    <w:basedOn w:val="35"/>
    <w:qFormat/>
    <w:uiPriority w:val="0"/>
    <w:rPr>
      <w:rFonts w:hint="eastAsia" w:ascii="宋体" w:hAnsi="宋体" w:eastAsia="宋体" w:cs="宋体"/>
      <w:color w:val="000000"/>
      <w:sz w:val="21"/>
      <w:szCs w:val="21"/>
      <w:u w:val="none"/>
    </w:rPr>
  </w:style>
  <w:style w:type="character" w:customStyle="1" w:styleId="63">
    <w:name w:val="fontstyle01"/>
    <w:basedOn w:val="35"/>
    <w:qFormat/>
    <w:uiPriority w:val="0"/>
    <w:rPr>
      <w:rFonts w:ascii="宋体" w:hAnsi="宋体" w:eastAsia="宋体" w:cs="宋体"/>
      <w:color w:val="000000"/>
      <w:sz w:val="24"/>
      <w:szCs w:val="24"/>
    </w:rPr>
  </w:style>
  <w:style w:type="character" w:customStyle="1" w:styleId="64">
    <w:name w:val="表格 Char"/>
    <w:link w:val="65"/>
    <w:qFormat/>
    <w:locked/>
    <w:uiPriority w:val="0"/>
    <w:rPr>
      <w:rFonts w:ascii="宋体"/>
      <w:sz w:val="21"/>
    </w:rPr>
  </w:style>
  <w:style w:type="paragraph" w:customStyle="1" w:styleId="65">
    <w:name w:val="表格"/>
    <w:basedOn w:val="10"/>
    <w:next w:val="1"/>
    <w:link w:val="64"/>
    <w:qFormat/>
    <w:uiPriority w:val="0"/>
    <w:pPr>
      <w:adjustRightInd w:val="0"/>
      <w:snapToGrid w:val="0"/>
      <w:spacing w:beforeLines="10" w:afterLines="10" w:line="259" w:lineRule="auto"/>
      <w:jc w:val="center"/>
    </w:pPr>
    <w:rPr>
      <w:rFonts w:ascii="宋体"/>
      <w:kern w:val="0"/>
      <w:szCs w:val="20"/>
    </w:rPr>
  </w:style>
  <w:style w:type="character" w:customStyle="1" w:styleId="66">
    <w:name w:val="font31"/>
    <w:basedOn w:val="35"/>
    <w:qFormat/>
    <w:uiPriority w:val="0"/>
    <w:rPr>
      <w:rFonts w:hint="default" w:ascii="Times New Roman" w:hAnsi="Times New Roman" w:cs="Times New Roman"/>
      <w:color w:val="000000"/>
      <w:sz w:val="21"/>
      <w:szCs w:val="21"/>
      <w:u w:val="none"/>
    </w:rPr>
  </w:style>
  <w:style w:type="character" w:customStyle="1" w:styleId="67">
    <w:name w:val="批注文字 字符1"/>
    <w:semiHidden/>
    <w:qFormat/>
    <w:uiPriority w:val="0"/>
    <w:rPr>
      <w:rFonts w:ascii="Times New Roman" w:hAnsi="Times New Roman" w:eastAsia="宋体"/>
      <w:sz w:val="24"/>
    </w:rPr>
  </w:style>
  <w:style w:type="paragraph" w:customStyle="1" w:styleId="68">
    <w:name w:val="首行缩进2 字符"/>
    <w:basedOn w:val="1"/>
    <w:qFormat/>
    <w:uiPriority w:val="0"/>
    <w:pPr>
      <w:widowControl w:val="0"/>
      <w:spacing w:line="360" w:lineRule="auto"/>
      <w:ind w:firstLine="480" w:firstLineChars="200"/>
      <w:jc w:val="both"/>
    </w:pPr>
    <w:rPr>
      <w:rFonts w:ascii="Calibri" w:hAnsi="Calibri" w:cs="宋体"/>
      <w:kern w:val="2"/>
    </w:rPr>
  </w:style>
  <w:style w:type="paragraph" w:customStyle="1" w:styleId="69">
    <w:name w:val="表格标题"/>
    <w:basedOn w:val="1"/>
    <w:qFormat/>
    <w:uiPriority w:val="0"/>
    <w:pPr>
      <w:spacing w:before="156" w:beforeLines="50" w:line="360" w:lineRule="auto"/>
      <w:jc w:val="center"/>
    </w:pPr>
    <w:rPr>
      <w:rFonts w:eastAsia="黑体"/>
      <w:kern w:val="0"/>
      <w:sz w:val="20"/>
      <w:szCs w:val="20"/>
    </w:rPr>
  </w:style>
  <w:style w:type="paragraph" w:customStyle="1" w:styleId="70">
    <w:name w:val="7表格(治)"/>
    <w:qFormat/>
    <w:uiPriority w:val="0"/>
    <w:pPr>
      <w:jc w:val="center"/>
    </w:pPr>
    <w:rPr>
      <w:rFonts w:ascii="Times New Roman" w:hAnsi="Times New Roman" w:eastAsia="Times New Roman" w:cs="Times New Roman"/>
      <w:sz w:val="21"/>
      <w:szCs w:val="22"/>
      <w:lang w:val="en-US" w:eastAsia="zh-CN" w:bidi="ar-SA"/>
    </w:rPr>
  </w:style>
  <w:style w:type="paragraph" w:customStyle="1" w:styleId="71">
    <w:name w:val="Table Paragraph"/>
    <w:basedOn w:val="1"/>
    <w:qFormat/>
    <w:uiPriority w:val="0"/>
    <w:pPr>
      <w:widowControl w:val="0"/>
    </w:pPr>
    <w:rPr>
      <w:rFonts w:ascii="Calibri" w:hAnsi="Calibri"/>
      <w:sz w:val="22"/>
      <w:szCs w:val="22"/>
      <w:lang w:eastAsia="en-US"/>
    </w:rPr>
  </w:style>
  <w:style w:type="paragraph" w:customStyle="1" w:styleId="72">
    <w:name w:val="已有表格"/>
    <w:basedOn w:val="1"/>
    <w:qFormat/>
    <w:uiPriority w:val="0"/>
    <w:pPr>
      <w:adjustRightInd w:val="0"/>
      <w:spacing w:before="40" w:beforeLines="0" w:beforeAutospacing="0" w:after="40" w:afterLines="0" w:afterAutospacing="0"/>
      <w:jc w:val="center"/>
    </w:pPr>
    <w:rPr>
      <w:b/>
      <w:kern w:val="0"/>
      <w:sz w:val="24"/>
      <w:szCs w:val="24"/>
    </w:rPr>
  </w:style>
  <w:style w:type="paragraph" w:customStyle="1" w:styleId="73">
    <w:name w:val="标题4"/>
    <w:basedOn w:val="1"/>
    <w:next w:val="1"/>
    <w:qFormat/>
    <w:uiPriority w:val="0"/>
    <w:pPr>
      <w:wordWrap w:val="0"/>
      <w:topLinePunct/>
      <w:adjustRightInd w:val="0"/>
      <w:snapToGrid w:val="0"/>
      <w:spacing w:beforeLines="50" w:afterLines="50"/>
    </w:pPr>
  </w:style>
  <w:style w:type="paragraph" w:customStyle="1" w:styleId="74">
    <w:name w:val="报告表格"/>
    <w:basedOn w:val="1"/>
    <w:qFormat/>
    <w:uiPriority w:val="0"/>
    <w:pPr>
      <w:autoSpaceDE w:val="0"/>
      <w:autoSpaceDN w:val="0"/>
      <w:adjustRightInd w:val="0"/>
      <w:spacing w:before="40" w:beforeLines="0" w:beforeAutospacing="0" w:after="40" w:afterLines="0" w:afterAutospacing="0"/>
      <w:jc w:val="center"/>
    </w:pPr>
    <w:rPr>
      <w:kern w:val="0"/>
      <w:szCs w:val="24"/>
    </w:rPr>
  </w:style>
  <w:style w:type="paragraph" w:styleId="75">
    <w:name w:val="List Paragraph"/>
    <w:basedOn w:val="1"/>
    <w:qFormat/>
    <w:uiPriority w:val="1"/>
    <w:pPr>
      <w:ind w:left="1324" w:hanging="602"/>
    </w:pPr>
    <w:rPr>
      <w:rFonts w:ascii="宋体" w:hAnsi="宋体" w:eastAsia="宋体" w:cs="宋体"/>
      <w:lang w:val="zh-CN" w:eastAsia="zh-CN" w:bidi="zh-CN"/>
    </w:rPr>
  </w:style>
  <w:style w:type="paragraph" w:customStyle="1" w:styleId="76">
    <w:name w:val="应填表格"/>
    <w:basedOn w:val="72"/>
    <w:qFormat/>
    <w:uiPriority w:val="0"/>
    <w:pPr>
      <w:jc w:val="both"/>
    </w:pPr>
    <w:rPr>
      <w:rFonts w:hint="eastAsia" w:ascii="宋体"/>
      <w:spacing w:val="40"/>
    </w:rPr>
  </w:style>
  <w:style w:type="paragraph" w:customStyle="1" w:styleId="77">
    <w:name w:val="zhang正文"/>
    <w:basedOn w:val="14"/>
    <w:qFormat/>
    <w:uiPriority w:val="0"/>
    <w:pPr>
      <w:widowControl w:val="0"/>
      <w:autoSpaceDE w:val="0"/>
      <w:autoSpaceDN w:val="0"/>
      <w:adjustRightInd w:val="0"/>
      <w:snapToGrid w:val="0"/>
      <w:spacing w:after="0" w:line="500" w:lineRule="exact"/>
      <w:ind w:left="0" w:leftChars="0" w:firstLine="539"/>
      <w:jc w:val="both"/>
      <w:textAlignment w:val="baseline"/>
    </w:pPr>
    <w:rPr>
      <w:rFonts w:eastAsia="楷体_GB2312"/>
      <w:sz w:val="28"/>
    </w:rPr>
  </w:style>
  <w:style w:type="paragraph" w:customStyle="1" w:styleId="78">
    <w:name w:val="A表格标题"/>
    <w:basedOn w:val="69"/>
    <w:qFormat/>
    <w:uiPriority w:val="0"/>
    <w:pPr>
      <w:spacing w:before="50" w:beforeLines="0" w:line="240" w:lineRule="auto"/>
    </w:pPr>
    <w:rPr>
      <w:rFonts w:ascii="Times New Roman" w:hAnsi="Times New Roman"/>
      <w:sz w:val="24"/>
    </w:rPr>
  </w:style>
  <w:style w:type="paragraph" w:customStyle="1" w:styleId="7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0">
    <w:name w:val="My正文"/>
    <w:basedOn w:val="1"/>
    <w:qFormat/>
    <w:uiPriority w:val="0"/>
    <w:pPr>
      <w:adjustRightInd w:val="0"/>
      <w:snapToGrid w:val="0"/>
      <w:spacing w:line="360" w:lineRule="auto"/>
      <w:ind w:firstLine="480" w:firstLineChars="200"/>
    </w:pPr>
    <w:rPr>
      <w:rFonts w:ascii="宋体" w:hAnsi="宋体" w:cs="宋体"/>
      <w:color w:val="000000"/>
      <w:sz w:val="24"/>
    </w:rPr>
  </w:style>
  <w:style w:type="paragraph" w:customStyle="1" w:styleId="81">
    <w:name w:val="5文章(治)"/>
    <w:basedOn w:val="1"/>
    <w:qFormat/>
    <w:uiPriority w:val="0"/>
    <w:pPr>
      <w:widowControl w:val="0"/>
      <w:spacing w:line="360" w:lineRule="auto"/>
      <w:ind w:firstLine="480" w:firstLineChars="200"/>
      <w:jc w:val="both"/>
    </w:pPr>
    <w:rPr>
      <w:snapToGrid w:val="0"/>
      <w:color w:val="000000"/>
      <w:lang w:val="en-GB"/>
    </w:rPr>
  </w:style>
  <w:style w:type="paragraph" w:customStyle="1" w:styleId="82">
    <w:name w:val="无间距"/>
    <w:qFormat/>
    <w:uiPriority w:val="1"/>
    <w:pPr>
      <w:widowControl w:val="0"/>
      <w:spacing w:beforeLines="50"/>
      <w:jc w:val="center"/>
    </w:pPr>
    <w:rPr>
      <w:rFonts w:ascii="Times New Roman" w:hAnsi="Times New Roman" w:eastAsia="宋体" w:cs="Times New Roman"/>
      <w:b/>
      <w:kern w:val="2"/>
      <w:sz w:val="24"/>
      <w:szCs w:val="21"/>
      <w:lang w:val="en-US" w:eastAsia="zh-CN" w:bidi="ar-SA"/>
    </w:rPr>
  </w:style>
  <w:style w:type="paragraph" w:customStyle="1" w:styleId="83">
    <w:name w:val="正文小四"/>
    <w:basedOn w:val="1"/>
    <w:qFormat/>
    <w:uiPriority w:val="0"/>
    <w:pPr>
      <w:spacing w:line="360" w:lineRule="auto"/>
      <w:ind w:firstLine="200" w:firstLineChars="200"/>
    </w:pPr>
    <w:rPr>
      <w:szCs w:val="24"/>
    </w:rPr>
  </w:style>
  <w:style w:type="paragraph" w:customStyle="1" w:styleId="8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报告宋体小四"/>
    <w:next w:val="1"/>
    <w:qFormat/>
    <w:uiPriority w:val="0"/>
    <w:pPr>
      <w:widowControl w:val="0"/>
      <w:spacing w:line="360" w:lineRule="auto"/>
      <w:ind w:firstLine="480" w:firstLineChars="200"/>
      <w:jc w:val="both"/>
    </w:pPr>
    <w:rPr>
      <w:rFonts w:ascii="Times New Roman" w:hAnsi="Times New Roman" w:eastAsia="宋体" w:cs="Times New Roman"/>
      <w:color w:val="000000"/>
      <w:sz w:val="24"/>
      <w:lang w:val="en-US" w:eastAsia="zh-CN" w:bidi="ar-SA"/>
    </w:rPr>
  </w:style>
  <w:style w:type="paragraph" w:customStyle="1" w:styleId="86">
    <w:name w:val="表头"/>
    <w:basedOn w:val="87"/>
    <w:next w:val="1"/>
    <w:qFormat/>
    <w:uiPriority w:val="0"/>
    <w:pPr>
      <w:widowControl w:val="0"/>
      <w:adjustRightInd w:val="0"/>
      <w:spacing w:line="360" w:lineRule="auto"/>
    </w:pPr>
    <w:rPr>
      <w:rFonts w:eastAsia="黑体"/>
      <w:snapToGrid w:val="0"/>
      <w:sz w:val="28"/>
    </w:rPr>
  </w:style>
  <w:style w:type="paragraph" w:customStyle="1" w:styleId="87">
    <w:name w:val="正文1"/>
    <w:basedOn w:val="14"/>
    <w:qFormat/>
    <w:uiPriority w:val="0"/>
    <w:pPr>
      <w:widowControl w:val="0"/>
      <w:adjustRightInd w:val="0"/>
      <w:spacing w:line="360" w:lineRule="atLeast"/>
    </w:pPr>
    <w:rPr>
      <w:rFonts w:ascii="Arial" w:hAnsi="Times New Roman" w:eastAsia="宋体" w:cs="Times New Roman"/>
      <w:sz w:val="34"/>
      <w:lang w:val="en-US" w:eastAsia="zh-CN" w:bidi="ar-SA"/>
    </w:rPr>
  </w:style>
  <w:style w:type="table" w:customStyle="1" w:styleId="88">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89">
    <w:name w:val="D正文"/>
    <w:basedOn w:val="1"/>
    <w:qFormat/>
    <w:uiPriority w:val="0"/>
    <w:pPr>
      <w:adjustRightInd w:val="0"/>
      <w:snapToGrid w:val="0"/>
      <w:spacing w:line="360" w:lineRule="auto"/>
      <w:ind w:firstLine="200" w:firstLineChars="200"/>
    </w:pPr>
    <w:rPr>
      <w:rFonts w:cs="宋体"/>
      <w:bCs/>
      <w:sz w:val="24"/>
      <w:szCs w:val="21"/>
    </w:rPr>
  </w:style>
  <w:style w:type="paragraph" w:customStyle="1" w:styleId="90">
    <w:name w:val="D表头"/>
    <w:basedOn w:val="1"/>
    <w:next w:val="1"/>
    <w:qFormat/>
    <w:uiPriority w:val="0"/>
    <w:pPr>
      <w:tabs>
        <w:tab w:val="left" w:pos="360"/>
      </w:tabs>
      <w:spacing w:before="50" w:beforeLines="50"/>
      <w:jc w:val="center"/>
    </w:pPr>
    <w:rPr>
      <w:b/>
      <w:bCs/>
      <w:sz w:val="24"/>
      <w:szCs w:val="20"/>
    </w:rPr>
  </w:style>
  <w:style w:type="paragraph" w:customStyle="1" w:styleId="91">
    <w:name w:val="D表内"/>
    <w:basedOn w:val="65"/>
    <w:qFormat/>
    <w:uiPriority w:val="0"/>
    <w:pPr>
      <w:spacing w:beforeLines="0" w:afterLines="0" w:line="240" w:lineRule="auto"/>
    </w:pPr>
    <w:rPr>
      <w:rFonts w:ascii="Times New Roman"/>
    </w:rPr>
  </w:style>
  <w:style w:type="paragraph" w:customStyle="1" w:styleId="92">
    <w:name w:val="表格内容CCW"/>
    <w:basedOn w:val="1"/>
    <w:qFormat/>
    <w:uiPriority w:val="0"/>
    <w:pPr>
      <w:tabs>
        <w:tab w:val="left" w:pos="360"/>
      </w:tabs>
      <w:jc w:val="center"/>
    </w:pPr>
    <w:rPr>
      <w:szCs w:val="24"/>
    </w:rPr>
  </w:style>
  <w:style w:type="character" w:customStyle="1" w:styleId="93">
    <w:name w:val="font11"/>
    <w:basedOn w:val="35"/>
    <w:qFormat/>
    <w:uiPriority w:val="0"/>
    <w:rPr>
      <w:rFonts w:hint="eastAsia" w:ascii="宋体" w:hAnsi="宋体" w:eastAsia="宋体" w:cs="宋体"/>
      <w:color w:val="000000"/>
      <w:sz w:val="28"/>
      <w:szCs w:val="28"/>
      <w:u w:val="none"/>
      <w:vertAlign w:val="superscript"/>
    </w:rPr>
  </w:style>
  <w:style w:type="paragraph" w:customStyle="1" w:styleId="94">
    <w:name w:val="111正文格式111"/>
    <w:basedOn w:val="95"/>
    <w:qFormat/>
    <w:uiPriority w:val="0"/>
    <w:pPr>
      <w:adjustRightInd w:val="0"/>
      <w:snapToGrid w:val="0"/>
    </w:pPr>
    <w:rPr>
      <w:bCs/>
      <w:lang w:val="en-US" w:eastAsia="zh-CN"/>
    </w:rPr>
  </w:style>
  <w:style w:type="paragraph" w:customStyle="1" w:styleId="95">
    <w:name w:val="正文的格式"/>
    <w:basedOn w:val="1"/>
    <w:qFormat/>
    <w:uiPriority w:val="99"/>
    <w:pPr>
      <w:spacing w:line="360" w:lineRule="auto"/>
      <w:ind w:firstLine="200" w:firstLineChars="200"/>
    </w:pPr>
    <w:rPr>
      <w:rFonts w:ascii="Times New Roman" w:hAnsi="Times New Roman"/>
      <w:sz w:val="24"/>
      <w:szCs w:val="24"/>
    </w:rPr>
  </w:style>
  <w:style w:type="paragraph" w:customStyle="1" w:styleId="96">
    <w:name w:val="表 阳光"/>
    <w:basedOn w:val="1"/>
    <w:qFormat/>
    <w:uiPriority w:val="0"/>
    <w:pPr>
      <w:jc w:val="center"/>
    </w:pPr>
    <w:rPr>
      <w:rFonts w:ascii="Times New Roman" w:hAnsi="Times New Roman"/>
      <w:bCs/>
      <w:kern w:val="44"/>
      <w:szCs w:val="44"/>
    </w:rPr>
  </w:style>
  <w:style w:type="paragraph" w:customStyle="1" w:styleId="97">
    <w:name w:val="刘正文正文正文正文正文正文正文"/>
    <w:basedOn w:val="1"/>
    <w:qFormat/>
    <w:uiPriority w:val="0"/>
    <w:pPr>
      <w:adjustRightInd w:val="0"/>
      <w:snapToGrid w:val="0"/>
      <w:spacing w:line="360" w:lineRule="auto"/>
      <w:ind w:firstLine="720" w:firstLineChars="200"/>
    </w:pPr>
    <w:rPr>
      <w:rFonts w:ascii="Times New Roman" w:hAnsi="Times New Roman" w:eastAsia="宋体"/>
      <w:kern w:val="0"/>
      <w:sz w:val="21"/>
      <w:szCs w:val="20"/>
    </w:rPr>
  </w:style>
  <w:style w:type="paragraph" w:customStyle="1" w:styleId="98">
    <w:name w:val="2标题(治)"/>
    <w:basedOn w:val="4"/>
    <w:qFormat/>
    <w:uiPriority w:val="0"/>
    <w:pPr>
      <w:spacing w:before="0" w:after="0" w:line="360" w:lineRule="auto"/>
    </w:pPr>
    <w:rPr>
      <w:rFonts w:ascii="Times New Roman" w:hAnsi="Times New Roman" w:eastAsia="黑体" w:cs="Times New Roman"/>
      <w:szCs w:val="20"/>
    </w:rPr>
  </w:style>
  <w:style w:type="paragraph" w:customStyle="1" w:styleId="99">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00">
    <w:name w:val="0.正文内容"/>
    <w:basedOn w:val="1"/>
    <w:qFormat/>
    <w:uiPriority w:val="0"/>
    <w:pPr>
      <w:widowControl/>
      <w:adjustRightInd w:val="0"/>
      <w:snapToGrid w:val="0"/>
    </w:pPr>
    <w:rPr>
      <w:rFonts w:ascii="Calibri" w:hAnsi="Calibri" w:cs="Times New Roman"/>
      <w:kern w:val="0"/>
      <w:sz w:val="20"/>
      <w:szCs w:val="20"/>
    </w:rPr>
  </w:style>
  <w:style w:type="paragraph" w:customStyle="1" w:styleId="101">
    <w:name w:val="5文章正文"/>
    <w:basedOn w:val="1"/>
    <w:qFormat/>
    <w:uiPriority w:val="0"/>
    <w:pPr>
      <w:widowControl/>
      <w:spacing w:line="360" w:lineRule="auto"/>
      <w:ind w:firstLine="200" w:firstLineChars="200"/>
      <w:jc w:val="left"/>
    </w:pPr>
    <w:rPr>
      <w:rFonts w:ascii="Times New Roman" w:hAnsi="Times New Roman" w:eastAsia="宋体" w:cs="宋体"/>
      <w:kern w:val="0"/>
      <w:sz w:val="24"/>
      <w:szCs w:val="24"/>
    </w:rPr>
  </w:style>
  <w:style w:type="paragraph" w:customStyle="1" w:styleId="102">
    <w:name w:val="[正文格式]"/>
    <w:basedOn w:val="1"/>
    <w:qFormat/>
    <w:uiPriority w:val="0"/>
    <w:pPr>
      <w:spacing w:line="440" w:lineRule="exact"/>
      <w:ind w:firstLine="480" w:firstLineChars="200"/>
    </w:pPr>
    <w:rPr>
      <w:sz w:val="24"/>
    </w:rPr>
  </w:style>
  <w:style w:type="paragraph" w:customStyle="1" w:styleId="103">
    <w:name w:val="表格格式"/>
    <w:basedOn w:val="1"/>
    <w:next w:val="1"/>
    <w:qFormat/>
    <w:uiPriority w:val="0"/>
    <w:pPr>
      <w:spacing w:line="240" w:lineRule="auto"/>
      <w:ind w:firstLine="0" w:firstLineChars="0"/>
      <w:jc w:val="center"/>
    </w:pPr>
    <w:rPr>
      <w:sz w:val="21"/>
    </w:rPr>
  </w:style>
  <w:style w:type="paragraph" w:customStyle="1" w:styleId="104">
    <w:name w:val="6表(图)头(治)"/>
    <w:next w:val="1"/>
    <w:qFormat/>
    <w:uiPriority w:val="0"/>
    <w:pPr>
      <w:widowControl w:val="0"/>
      <w:jc w:val="center"/>
    </w:pPr>
    <w:rPr>
      <w:rFonts w:ascii="Times New Roman" w:hAnsi="Times New Roman" w:eastAsia="黑体" w:cs="Times New Roman"/>
      <w:b/>
      <w:sz w:val="24"/>
      <w:szCs w:val="28"/>
      <w:lang w:val="en-US" w:eastAsia="zh-CN" w:bidi="ar-SA"/>
    </w:rPr>
  </w:style>
  <w:style w:type="character" w:customStyle="1" w:styleId="105">
    <w:name w:val="标题 5 字符"/>
    <w:link w:val="7"/>
    <w:qFormat/>
    <w:uiPriority w:val="0"/>
    <w:rPr>
      <w:bCs/>
      <w:kern w:val="2"/>
      <w:sz w:val="24"/>
      <w:szCs w:val="28"/>
      <w:lang w:val="en-US" w:eastAsia="zh-CN" w:bidi="ar-SA"/>
    </w:rPr>
  </w:style>
  <w:style w:type="paragraph" w:customStyle="1" w:styleId="106">
    <w:name w:val="样式 7表格(治) + 宋体"/>
    <w:basedOn w:val="7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Q5NDI5NjU1Nzk1IiwKCSJHcm91cElkIiA6ICIyMDc2MTIyMTE5IiwKCSJJbWFnZSIgOiAiaVZCT1J3MEtHZ29BQUFBTlNVaEVVZ0FBQXFJQUFBSUxDQVlBQUFBekV2N1ZBQUFBQ1hCSVdYTUFBQXNUQUFBTEV3RUFtcHdZQUFBZ0FFbEVRVlI0bk96ZGUxeFVkZjQvOE5jTU1NTXdEQXpJY0FkQkVCVlFtVEV0M1d6OWFaY1Z5ekx0c3FscHRtdEphcFpwYmQvYTdyZHZXcFphV2RtM2k5dVdsV3Zhb25aYkxZdTBZTkJFRVMvSS9hTENNTU5jR0dibS9QNlFZUkZRRVlIRHdPdjVlUGlJOHptWHovc1FseGZubk0vbk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ZEgzNGYybnphVjVjeElDa0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177</Pages>
  <Words>36106</Words>
  <Characters>41616</Characters>
  <Lines>521</Lines>
  <Paragraphs>146</Paragraphs>
  <TotalTime>16</TotalTime>
  <ScaleCrop>false</ScaleCrop>
  <LinksUpToDate>false</LinksUpToDate>
  <CharactersWithSpaces>42279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刘舒婷</cp:lastModifiedBy>
  <cp:lastPrinted>2023-09-20T09:14:00Z</cp:lastPrinted>
  <dcterms:modified xsi:type="dcterms:W3CDTF">2023-09-21T03:26:00Z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DC3548AA188146ED9F73178F00FEFD8F_13</vt:lpwstr>
  </property>
</Properties>
</file>