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highlight w:val="none"/>
          <w:lang w:val="en-US" w:eastAsia="zh-CN"/>
        </w:rPr>
      </w:pPr>
      <w:bookmarkStart w:id="0" w:name="OLE_LINK1"/>
    </w:p>
    <w:p>
      <w:pPr>
        <w:jc w:val="center"/>
        <w:rPr>
          <w:rFonts w:hint="default" w:ascii="Times New Roman" w:hAnsi="Times New Roman" w:cs="Times New Roman"/>
          <w:highlight w:val="none"/>
        </w:rPr>
      </w:pPr>
    </w:p>
    <w:p>
      <w:pPr>
        <w:jc w:val="center"/>
        <w:rPr>
          <w:rFonts w:hint="default" w:ascii="Times New Roman" w:hAnsi="Times New Roman" w:cs="Times New Roman"/>
          <w:highlight w:val="none"/>
        </w:rPr>
      </w:pPr>
    </w:p>
    <w:p>
      <w:pPr>
        <w:jc w:val="center"/>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cs="Times New Roman"/>
          <w:b/>
          <w:bCs w:val="0"/>
          <w:sz w:val="36"/>
          <w:szCs w:val="36"/>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ascii="Times New Roman" w:hAnsi="Times New Roman" w:cs="Times New Roman"/>
          <w:b/>
          <w:bCs w:val="0"/>
          <w:sz w:val="44"/>
          <w:szCs w:val="44"/>
          <w:highlight w:val="none"/>
          <w:lang w:eastAsia="zh-CN"/>
        </w:rPr>
      </w:pPr>
      <w:r>
        <w:rPr>
          <w:rFonts w:hint="eastAsia" w:ascii="Times New Roman" w:hAnsi="Times New Roman" w:cs="Times New Roman"/>
          <w:b/>
          <w:bCs w:val="0"/>
          <w:sz w:val="44"/>
          <w:szCs w:val="44"/>
          <w:highlight w:val="none"/>
          <w:lang w:eastAsia="zh-CN"/>
        </w:rPr>
        <w:t>福安市青拓环保建材有限公司</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sz w:val="44"/>
          <w:szCs w:val="44"/>
          <w:highlight w:val="none"/>
        </w:rPr>
      </w:pPr>
      <w:r>
        <w:rPr>
          <w:rFonts w:hint="eastAsia" w:ascii="Times New Roman" w:hAnsi="Times New Roman" w:cs="Times New Roman"/>
          <w:b/>
          <w:bCs w:val="0"/>
          <w:sz w:val="44"/>
          <w:szCs w:val="44"/>
          <w:highlight w:val="none"/>
          <w:lang w:eastAsia="zh-CN"/>
        </w:rPr>
        <w:t>钢渣综合利用技改项目</w:t>
      </w:r>
    </w:p>
    <w:p>
      <w:pPr>
        <w:spacing w:line="360" w:lineRule="auto"/>
        <w:ind w:left="215"/>
        <w:jc w:val="center"/>
        <w:rPr>
          <w:rFonts w:hint="default" w:ascii="Times New Roman" w:hAnsi="Times New Roman" w:eastAsia="隶书" w:cs="Times New Roman"/>
          <w:sz w:val="56"/>
          <w:szCs w:val="56"/>
          <w:highlight w:val="none"/>
        </w:rPr>
      </w:pPr>
      <w:r>
        <w:rPr>
          <w:rFonts w:hint="default" w:ascii="Times New Roman" w:hAnsi="Times New Roman" w:eastAsia="隶书" w:cs="Times New Roman"/>
          <w:sz w:val="56"/>
          <w:szCs w:val="56"/>
          <w:highlight w:val="none"/>
        </w:rPr>
        <w:t>竣工环境保护验收监测报告表</w:t>
      </w: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eastAsia" w:ascii="Times New Roman" w:hAnsi="Times New Roman" w:eastAsia="宋体" w:cs="Times New Roman"/>
          <w:sz w:val="28"/>
          <w:szCs w:val="28"/>
          <w:highlight w:val="none"/>
          <w:lang w:eastAsia="zh-CN"/>
        </w:rPr>
      </w:pPr>
      <w:r>
        <w:rPr>
          <w:rFonts w:hint="eastAsia" w:cs="Times New Roman"/>
          <w:sz w:val="28"/>
          <w:szCs w:val="28"/>
          <w:highlight w:val="none"/>
          <w:lang w:eastAsia="zh-CN"/>
        </w:rPr>
        <w:t>（</w:t>
      </w:r>
      <w:r>
        <w:rPr>
          <w:rFonts w:hint="eastAsia" w:cs="Times New Roman"/>
          <w:sz w:val="28"/>
          <w:szCs w:val="28"/>
          <w:highlight w:val="none"/>
          <w:lang w:val="en-US" w:eastAsia="zh-CN"/>
        </w:rPr>
        <w:t>公示本</w:t>
      </w:r>
      <w:r>
        <w:rPr>
          <w:rFonts w:hint="eastAsia" w:cs="Times New Roman"/>
          <w:sz w:val="28"/>
          <w:szCs w:val="28"/>
          <w:highlight w:val="none"/>
          <w:lang w:eastAsia="zh-CN"/>
        </w:rPr>
        <w:t>）</w:t>
      </w:r>
    </w:p>
    <w:bookmarkEnd w:id="0"/>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val="0"/>
        <w:spacing w:before="160" w:beforeLines="50" w:line="360" w:lineRule="auto"/>
        <w:jc w:val="center"/>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1606" w:firstLineChars="500"/>
        <w:jc w:val="left"/>
        <w:textAlignment w:val="auto"/>
        <w:rPr>
          <w:rFonts w:hint="default" w:ascii="Times New Roman" w:hAnsi="Times New Roman" w:eastAsia="宋体" w:cs="Times New Roman"/>
          <w:b/>
          <w:bCs/>
          <w:color w:val="000000"/>
          <w:sz w:val="32"/>
          <w:szCs w:val="32"/>
          <w:highlight w:val="none"/>
          <w:lang w:val="en-US" w:eastAsia="zh-CN"/>
        </w:rPr>
      </w:pPr>
      <w:r>
        <w:rPr>
          <w:rFonts w:hint="default" w:ascii="Times New Roman" w:hAnsi="Times New Roman" w:eastAsia="宋体" w:cs="Times New Roman"/>
          <w:b/>
          <w:bCs/>
          <w:color w:val="000000"/>
          <w:sz w:val="32"/>
          <w:szCs w:val="32"/>
          <w:highlight w:val="none"/>
          <w:lang w:val="en-US" w:eastAsia="zh-CN"/>
        </w:rPr>
        <w:t>建设单位：</w:t>
      </w:r>
      <w:r>
        <w:rPr>
          <w:rFonts w:hint="eastAsia" w:ascii="Times New Roman" w:hAnsi="Times New Roman" w:cs="Times New Roman"/>
          <w:b/>
          <w:bCs/>
          <w:color w:val="000000"/>
          <w:sz w:val="32"/>
          <w:szCs w:val="32"/>
          <w:highlight w:val="none"/>
          <w:lang w:val="en-US" w:eastAsia="zh-CN"/>
        </w:rPr>
        <w:t>福安市青拓环保建材有限公司</w:t>
      </w:r>
    </w:p>
    <w:p>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1606" w:firstLineChars="500"/>
        <w:jc w:val="left"/>
        <w:textAlignment w:val="auto"/>
        <w:rPr>
          <w:rFonts w:hint="default" w:ascii="Times New Roman" w:hAnsi="Times New Roman" w:eastAsia="宋体" w:cs="Times New Roman"/>
          <w:b/>
          <w:bCs/>
          <w:color w:val="000000"/>
          <w:sz w:val="32"/>
          <w:szCs w:val="32"/>
          <w:highlight w:val="none"/>
          <w:lang w:eastAsia="zh-CN"/>
        </w:rPr>
      </w:pPr>
      <w:r>
        <w:rPr>
          <w:rFonts w:hint="default" w:ascii="Times New Roman" w:hAnsi="Times New Roman" w:eastAsia="宋体" w:cs="Times New Roman"/>
          <w:b/>
          <w:bCs/>
          <w:color w:val="000000"/>
          <w:sz w:val="32"/>
          <w:szCs w:val="32"/>
          <w:highlight w:val="none"/>
          <w:lang w:val="en-US" w:eastAsia="zh-CN"/>
        </w:rPr>
        <w:t>编制单位：</w:t>
      </w:r>
      <w:r>
        <w:rPr>
          <w:rFonts w:hint="eastAsia" w:ascii="Times New Roman" w:hAnsi="Times New Roman" w:cs="Times New Roman"/>
          <w:b/>
          <w:bCs/>
          <w:color w:val="000000"/>
          <w:sz w:val="32"/>
          <w:szCs w:val="32"/>
          <w:highlight w:val="none"/>
          <w:lang w:eastAsia="zh-CN"/>
        </w:rPr>
        <w:t>福建省冶金工业设计院有限公司</w:t>
      </w:r>
    </w:p>
    <w:p>
      <w:pPr>
        <w:bidi w:val="0"/>
        <w:rPr>
          <w:rFonts w:hint="default" w:ascii="Times New Roman" w:hAnsi="Times New Roman" w:cs="Times New Roman"/>
          <w:highlight w:val="none"/>
          <w:lang w:val="en-US" w:eastAsia="zh-CN"/>
        </w:rPr>
      </w:pPr>
    </w:p>
    <w:p>
      <w:pPr>
        <w:bidi w:val="0"/>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方正黑体简体" w:cs="Times New Roman"/>
          <w:b w:val="0"/>
          <w:bCs w:val="0"/>
          <w:color w:val="000000"/>
          <w:sz w:val="32"/>
          <w:szCs w:val="32"/>
          <w:highlight w:val="none"/>
          <w:lang w:val="en-US" w:eastAsia="zh-CN"/>
        </w:rPr>
      </w:pPr>
      <w:r>
        <w:rPr>
          <w:rFonts w:hint="default" w:ascii="Times New Roman" w:hAnsi="Times New Roman" w:eastAsia="宋体" w:cs="Times New Roman"/>
          <w:b/>
          <w:bCs/>
          <w:color w:val="000000"/>
          <w:sz w:val="32"/>
          <w:szCs w:val="32"/>
          <w:highlight w:val="none"/>
          <w:lang w:val="en-US" w:eastAsia="zh-CN"/>
        </w:rPr>
        <w:t>202</w:t>
      </w:r>
      <w:r>
        <w:rPr>
          <w:rFonts w:hint="eastAsia" w:ascii="Times New Roman" w:hAnsi="Times New Roman" w:cs="Times New Roman"/>
          <w:b/>
          <w:bCs/>
          <w:color w:val="000000"/>
          <w:sz w:val="32"/>
          <w:szCs w:val="32"/>
          <w:highlight w:val="none"/>
          <w:lang w:val="en-US" w:eastAsia="zh-CN"/>
        </w:rPr>
        <w:t>5</w:t>
      </w:r>
      <w:r>
        <w:rPr>
          <w:rFonts w:hint="default" w:ascii="Times New Roman" w:hAnsi="Times New Roman" w:eastAsia="宋体" w:cs="Times New Roman"/>
          <w:b/>
          <w:bCs/>
          <w:color w:val="000000"/>
          <w:sz w:val="32"/>
          <w:szCs w:val="32"/>
          <w:highlight w:val="none"/>
          <w:lang w:val="en-US" w:eastAsia="zh-CN"/>
        </w:rPr>
        <w:t>年</w:t>
      </w:r>
      <w:r>
        <w:rPr>
          <w:rFonts w:hint="eastAsia" w:cs="Times New Roman"/>
          <w:b/>
          <w:bCs/>
          <w:color w:val="000000"/>
          <w:sz w:val="32"/>
          <w:szCs w:val="32"/>
          <w:highlight w:val="none"/>
          <w:lang w:val="en-US" w:eastAsia="zh-CN"/>
        </w:rPr>
        <w:t>11</w:t>
      </w:r>
      <w:r>
        <w:rPr>
          <w:rFonts w:hint="default" w:ascii="Times New Roman" w:hAnsi="Times New Roman" w:eastAsia="宋体" w:cs="Times New Roman"/>
          <w:b/>
          <w:bCs/>
          <w:color w:val="000000"/>
          <w:sz w:val="32"/>
          <w:szCs w:val="32"/>
          <w:highlight w:val="none"/>
          <w:lang w:val="en-US" w:eastAsia="zh-CN"/>
        </w:rPr>
        <w:t>月</w:t>
      </w:r>
    </w:p>
    <w:p>
      <w:pPr>
        <w:rPr>
          <w:rFonts w:hint="default" w:ascii="Times New Roman" w:hAnsi="Times New Roman" w:cs="Times New Roman"/>
          <w:highlight w:val="none"/>
        </w:rPr>
      </w:pPr>
    </w:p>
    <w:p>
      <w:pPr>
        <w:rPr>
          <w:rFonts w:hint="default" w:ascii="Times New Roman" w:hAnsi="Times New Roman" w:cs="Times New Roman"/>
          <w:highlight w:val="none"/>
        </w:rPr>
        <w:sectPr>
          <w:pgSz w:w="11906" w:h="16838"/>
          <w:pgMar w:top="1417" w:right="1417" w:bottom="1417" w:left="1417" w:header="851" w:footer="992" w:gutter="0"/>
          <w:pgNumType w:start="1"/>
          <w:cols w:space="720" w:num="1"/>
          <w:rtlGutter w:val="0"/>
          <w:docGrid w:type="lines" w:linePitch="318" w:charSpace="0"/>
        </w:sectPr>
      </w:pPr>
    </w:p>
    <w:p>
      <w:pPr>
        <w:pStyle w:val="22"/>
        <w:keepNext w:val="0"/>
        <w:keepLines w:val="0"/>
        <w:pageBreakBefore w:val="0"/>
        <w:widowControl w:val="0"/>
        <w:tabs>
          <w:tab w:val="right" w:leader="dot" w:pos="8306"/>
        </w:tabs>
        <w:kinsoku/>
        <w:wordWrap/>
        <w:overflowPunct/>
        <w:topLinePunct w:val="0"/>
        <w:autoSpaceDE/>
        <w:autoSpaceDN/>
        <w:bidi w:val="0"/>
        <w:adjustRightInd/>
        <w:snapToGrid w:val="0"/>
        <w:spacing w:after="160" w:afterLines="50"/>
        <w:jc w:val="center"/>
        <w:textAlignment w:val="auto"/>
        <w:rPr>
          <w:rFonts w:hint="default" w:ascii="Times New Roman" w:hAnsi="Times New Roman" w:eastAsia="黑体" w:cs="Times New Roman"/>
          <w:b w:val="0"/>
          <w:bCs/>
          <w:sz w:val="30"/>
          <w:szCs w:val="30"/>
          <w:highlight w:val="none"/>
          <w:lang w:eastAsia="zh-CN"/>
        </w:rPr>
      </w:pPr>
      <w:r>
        <w:rPr>
          <w:rFonts w:hint="default" w:ascii="Times New Roman" w:hAnsi="Times New Roman" w:eastAsia="黑体" w:cs="Times New Roman"/>
          <w:b w:val="0"/>
          <w:bCs/>
          <w:sz w:val="30"/>
          <w:szCs w:val="30"/>
          <w:highlight w:val="none"/>
          <w:lang w:eastAsia="zh-CN"/>
        </w:rPr>
        <w:t>目</w:t>
      </w:r>
      <w:r>
        <w:rPr>
          <w:rFonts w:hint="default" w:ascii="Times New Roman" w:hAnsi="Times New Roman" w:eastAsia="黑体" w:cs="Times New Roman"/>
          <w:b w:val="0"/>
          <w:bCs/>
          <w:sz w:val="30"/>
          <w:szCs w:val="30"/>
          <w:highlight w:val="none"/>
          <w:lang w:val="en-US" w:eastAsia="zh-CN"/>
        </w:rPr>
        <w:t xml:space="preserve">  </w:t>
      </w:r>
      <w:r>
        <w:rPr>
          <w:rFonts w:hint="default" w:ascii="Times New Roman" w:hAnsi="Times New Roman" w:eastAsia="黑体" w:cs="Times New Roman"/>
          <w:b w:val="0"/>
          <w:bCs/>
          <w:sz w:val="30"/>
          <w:szCs w:val="30"/>
          <w:highlight w:val="none"/>
          <w:lang w:eastAsia="zh-CN"/>
        </w:rPr>
        <w:t>录</w:t>
      </w:r>
      <w:bookmarkStart w:id="147" w:name="_GoBack"/>
      <w:bookmarkEnd w:id="147"/>
    </w:p>
    <w:p>
      <w:pPr>
        <w:pStyle w:val="22"/>
        <w:tabs>
          <w:tab w:val="right" w:leader="dot" w:pos="9072"/>
        </w:tabs>
      </w:pPr>
      <w:r>
        <w:rPr>
          <w:rFonts w:hint="default" w:ascii="Times New Roman" w:hAnsi="Times New Roman" w:eastAsia="黑体" w:cs="Times New Roman"/>
          <w:sz w:val="24"/>
          <w:szCs w:val="24"/>
          <w:highlight w:val="none"/>
          <w:lang w:eastAsia="zh-CN"/>
        </w:rPr>
        <w:fldChar w:fldCharType="begin"/>
      </w:r>
      <w:r>
        <w:rPr>
          <w:rFonts w:hint="default" w:ascii="Times New Roman" w:hAnsi="Times New Roman" w:eastAsia="黑体" w:cs="Times New Roman"/>
          <w:sz w:val="24"/>
          <w:szCs w:val="24"/>
          <w:highlight w:val="none"/>
          <w:lang w:eastAsia="zh-CN"/>
        </w:rPr>
        <w:instrText xml:space="preserve">TOC \o "1-2" \h \u </w:instrText>
      </w:r>
      <w:r>
        <w:rPr>
          <w:rFonts w:hint="default" w:ascii="Times New Roman" w:hAnsi="Times New Roman" w:eastAsia="黑体" w:cs="Times New Roman"/>
          <w:sz w:val="24"/>
          <w:szCs w:val="24"/>
          <w:highlight w:val="none"/>
          <w:lang w:eastAsia="zh-CN"/>
        </w:rPr>
        <w:fldChar w:fldCharType="separate"/>
      </w: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_Toc30174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eastAsia="zh-CN"/>
        </w:rPr>
        <w:t>表一</w:t>
      </w:r>
      <w:r>
        <w:rPr>
          <w:rFonts w:hint="default" w:ascii="Times New Roman" w:hAnsi="Times New Roman" w:cs="Times New Roman"/>
          <w:highlight w:val="none"/>
          <w:lang w:val="en-US" w:eastAsia="zh-CN"/>
        </w:rPr>
        <w:t xml:space="preserve">  项目总体情况</w:t>
      </w:r>
      <w:r>
        <w:tab/>
      </w:r>
      <w:r>
        <w:fldChar w:fldCharType="begin"/>
      </w:r>
      <w:r>
        <w:instrText xml:space="preserve"> PAGEREF _Toc30174 \h </w:instrText>
      </w:r>
      <w:r>
        <w:fldChar w:fldCharType="separate"/>
      </w:r>
      <w:r>
        <w:t>1</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_Toc1886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eastAsia="宋体" w:cs="Times New Roman"/>
          <w:bCs/>
          <w:highlight w:val="none"/>
          <w:lang w:eastAsia="zh-CN"/>
        </w:rPr>
        <w:t>前言</w:t>
      </w:r>
      <w:r>
        <w:tab/>
      </w:r>
      <w:r>
        <w:fldChar w:fldCharType="begin"/>
      </w:r>
      <w:r>
        <w:instrText xml:space="preserve"> PAGEREF _Toc1886 \h </w:instrText>
      </w:r>
      <w:r>
        <w:fldChar w:fldCharType="separate"/>
      </w:r>
      <w:r>
        <w:t>2</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_Toc26391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1.1验收监测依据</w:t>
      </w:r>
      <w:r>
        <w:tab/>
      </w:r>
      <w:r>
        <w:fldChar w:fldCharType="begin"/>
      </w:r>
      <w:r>
        <w:instrText xml:space="preserve"> PAGEREF _Toc26391 \h </w:instrText>
      </w:r>
      <w:r>
        <w:fldChar w:fldCharType="separate"/>
      </w:r>
      <w:r>
        <w:t>3</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_Toc20785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1.2验收监测评价标准、标号、级别、限值</w:t>
      </w:r>
      <w:r>
        <w:tab/>
      </w:r>
      <w:r>
        <w:fldChar w:fldCharType="begin"/>
      </w:r>
      <w:r>
        <w:instrText xml:space="preserve"> PAGEREF _Toc20785 \h </w:instrText>
      </w:r>
      <w:r>
        <w:fldChar w:fldCharType="separate"/>
      </w:r>
      <w:r>
        <w:t>3</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_Toc25921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eastAsia="zh-CN"/>
        </w:rPr>
        <w:t>表二</w:t>
      </w:r>
      <w:r>
        <w:rPr>
          <w:rFonts w:hint="default" w:ascii="Times New Roman" w:hAnsi="Times New Roman" w:cs="Times New Roman"/>
          <w:highlight w:val="none"/>
          <w:lang w:val="en-US" w:eastAsia="zh-CN"/>
        </w:rPr>
        <w:t xml:space="preserve">  建设内容、原辅材料消耗及水平衡、生产工艺</w:t>
      </w:r>
      <w:r>
        <w:tab/>
      </w:r>
      <w:r>
        <w:fldChar w:fldCharType="begin"/>
      </w:r>
      <w:r>
        <w:instrText xml:space="preserve"> PAGEREF _Toc25921 \h </w:instrText>
      </w:r>
      <w:r>
        <w:fldChar w:fldCharType="separate"/>
      </w:r>
      <w:r>
        <w:t>5</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_Toc10087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2.1建设内容</w:t>
      </w:r>
      <w:r>
        <w:tab/>
      </w:r>
      <w:r>
        <w:fldChar w:fldCharType="begin"/>
      </w:r>
      <w:r>
        <w:instrText xml:space="preserve"> PAGEREF _Toc10087 \h </w:instrText>
      </w:r>
      <w:r>
        <w:fldChar w:fldCharType="separate"/>
      </w:r>
      <w:r>
        <w:t>5</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_Toc17832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2.2主要生产设备</w:t>
      </w:r>
      <w:r>
        <w:tab/>
      </w:r>
      <w:r>
        <w:fldChar w:fldCharType="begin"/>
      </w:r>
      <w:r>
        <w:instrText xml:space="preserve"> PAGEREF _Toc17832 \h </w:instrText>
      </w:r>
      <w:r>
        <w:fldChar w:fldCharType="separate"/>
      </w:r>
      <w:r>
        <w:t>8</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_Toc23995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总平布置</w:t>
      </w:r>
      <w:r>
        <w:tab/>
      </w:r>
      <w:r>
        <w:fldChar w:fldCharType="begin"/>
      </w:r>
      <w:r>
        <w:instrText xml:space="preserve"> PAGEREF _Toc23995 \h </w:instrText>
      </w:r>
      <w:r>
        <w:fldChar w:fldCharType="separate"/>
      </w:r>
      <w:r>
        <w:t>8</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_Toc6704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原辅材料消耗及水平衡</w:t>
      </w:r>
      <w:r>
        <w:tab/>
      </w:r>
      <w:r>
        <w:fldChar w:fldCharType="begin"/>
      </w:r>
      <w:r>
        <w:instrText xml:space="preserve"> PAGEREF _Toc6704 \h </w:instrText>
      </w:r>
      <w:r>
        <w:fldChar w:fldCharType="separate"/>
      </w:r>
      <w:r>
        <w:t>9</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_Toc32562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2.5主要工艺流程及产污环节</w:t>
      </w:r>
      <w:r>
        <w:tab/>
      </w:r>
      <w:r>
        <w:fldChar w:fldCharType="begin"/>
      </w:r>
      <w:r>
        <w:instrText xml:space="preserve"> PAGEREF _Toc32562 \h </w:instrText>
      </w:r>
      <w:r>
        <w:fldChar w:fldCharType="separate"/>
      </w:r>
      <w:r>
        <w:t>11</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_Toc18360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2.6工程变动情况</w:t>
      </w:r>
      <w:r>
        <w:tab/>
      </w:r>
      <w:r>
        <w:fldChar w:fldCharType="begin"/>
      </w:r>
      <w:r>
        <w:instrText xml:space="preserve"> PAGEREF _Toc18360 \h </w:instrText>
      </w:r>
      <w:r>
        <w:fldChar w:fldCharType="separate"/>
      </w:r>
      <w:r>
        <w:t>13</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_Toc29560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eastAsia="zh-CN"/>
        </w:rPr>
        <w:t>表三</w:t>
      </w:r>
      <w:r>
        <w:rPr>
          <w:rFonts w:hint="default" w:ascii="Times New Roman" w:hAnsi="Times New Roman" w:cs="Times New Roman"/>
          <w:highlight w:val="none"/>
          <w:lang w:val="en-US" w:eastAsia="zh-CN"/>
        </w:rPr>
        <w:t xml:space="preserve">  主要污染源、污染物处理和排放</w:t>
      </w:r>
      <w:r>
        <w:tab/>
      </w:r>
      <w:r>
        <w:fldChar w:fldCharType="begin"/>
      </w:r>
      <w:r>
        <w:instrText xml:space="preserve"> PAGEREF _Toc29560 \h </w:instrText>
      </w:r>
      <w:r>
        <w:fldChar w:fldCharType="separate"/>
      </w:r>
      <w:r>
        <w:t>15</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_Toc23667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3.1废水</w:t>
      </w:r>
      <w:r>
        <w:tab/>
      </w:r>
      <w:r>
        <w:fldChar w:fldCharType="begin"/>
      </w:r>
      <w:r>
        <w:instrText xml:space="preserve"> PAGEREF _Toc23667 \h </w:instrText>
      </w:r>
      <w:r>
        <w:fldChar w:fldCharType="separate"/>
      </w:r>
      <w:r>
        <w:t>15</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_Toc10301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3.2废气</w:t>
      </w:r>
      <w:r>
        <w:tab/>
      </w:r>
      <w:r>
        <w:fldChar w:fldCharType="begin"/>
      </w:r>
      <w:r>
        <w:instrText xml:space="preserve"> PAGEREF _Toc10301 \h </w:instrText>
      </w:r>
      <w:r>
        <w:fldChar w:fldCharType="separate"/>
      </w:r>
      <w:r>
        <w:t>15</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_Toc3676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3.3噪声</w:t>
      </w:r>
      <w:r>
        <w:tab/>
      </w:r>
      <w:r>
        <w:fldChar w:fldCharType="begin"/>
      </w:r>
      <w:r>
        <w:instrText xml:space="preserve"> PAGEREF _Toc3676 \h </w:instrText>
      </w:r>
      <w:r>
        <w:fldChar w:fldCharType="separate"/>
      </w:r>
      <w:r>
        <w:t>16</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_Toc9847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3.4固体废物</w:t>
      </w:r>
      <w:r>
        <w:tab/>
      </w:r>
      <w:r>
        <w:fldChar w:fldCharType="begin"/>
      </w:r>
      <w:r>
        <w:instrText xml:space="preserve"> PAGEREF _Toc9847 \h </w:instrText>
      </w:r>
      <w:r>
        <w:fldChar w:fldCharType="separate"/>
      </w:r>
      <w:r>
        <w:t>16</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_Toc18923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3.5环境风险防范</w:t>
      </w:r>
      <w:r>
        <w:tab/>
      </w:r>
      <w:r>
        <w:fldChar w:fldCharType="begin"/>
      </w:r>
      <w:r>
        <w:instrText xml:space="preserve"> PAGEREF _Toc18923 \h </w:instrText>
      </w:r>
      <w:r>
        <w:fldChar w:fldCharType="separate"/>
      </w:r>
      <w:r>
        <w:t>16</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_Toc31410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3.6规范化排污口</w:t>
      </w:r>
      <w:r>
        <w:tab/>
      </w:r>
      <w:r>
        <w:fldChar w:fldCharType="begin"/>
      </w:r>
      <w:r>
        <w:instrText xml:space="preserve"> PAGEREF _Toc31410 \h </w:instrText>
      </w:r>
      <w:r>
        <w:fldChar w:fldCharType="separate"/>
      </w:r>
      <w:r>
        <w:t>17</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_Toc15274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eastAsia="zh-CN"/>
        </w:rPr>
        <w:t>表四</w:t>
      </w:r>
      <w:r>
        <w:rPr>
          <w:rFonts w:hint="default" w:ascii="Times New Roman" w:hAnsi="Times New Roman" w:cs="Times New Roman"/>
          <w:highlight w:val="none"/>
          <w:lang w:val="en-US" w:eastAsia="zh-CN"/>
        </w:rPr>
        <w:t xml:space="preserve">  环评报告表主要结论及审批部门审批决定</w:t>
      </w:r>
      <w:r>
        <w:tab/>
      </w:r>
      <w:r>
        <w:fldChar w:fldCharType="begin"/>
      </w:r>
      <w:r>
        <w:instrText xml:space="preserve"> PAGEREF _Toc15274 \h </w:instrText>
      </w:r>
      <w:r>
        <w:fldChar w:fldCharType="separate"/>
      </w:r>
      <w:r>
        <w:t>18</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_Toc20686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4.1环评报告表结论与建议</w:t>
      </w:r>
      <w:r>
        <w:rPr>
          <w:rFonts w:hint="eastAsia" w:cs="Times New Roman"/>
          <w:highlight w:val="none"/>
          <w:lang w:val="en-US" w:eastAsia="zh-CN"/>
        </w:rPr>
        <w:t>（</w:t>
      </w:r>
      <w:r>
        <w:rPr>
          <w:rFonts w:hint="default" w:ascii="Times New Roman" w:hAnsi="Times New Roman" w:cs="Times New Roman"/>
          <w:highlight w:val="none"/>
          <w:lang w:val="en-US" w:eastAsia="zh-CN"/>
        </w:rPr>
        <w:t>摘录</w:t>
      </w:r>
      <w:r>
        <w:rPr>
          <w:rFonts w:hint="eastAsia" w:cs="Times New Roman"/>
          <w:highlight w:val="none"/>
          <w:lang w:val="en-US" w:eastAsia="zh-CN"/>
        </w:rPr>
        <w:t>）</w:t>
      </w:r>
      <w:r>
        <w:tab/>
      </w:r>
      <w:r>
        <w:fldChar w:fldCharType="begin"/>
      </w:r>
      <w:r>
        <w:instrText xml:space="preserve"> PAGEREF _Toc20686 \h </w:instrText>
      </w:r>
      <w:r>
        <w:fldChar w:fldCharType="separate"/>
      </w:r>
      <w:r>
        <w:t>18</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_Toc21355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4.2审批部门审批决定</w:t>
      </w:r>
      <w:r>
        <w:tab/>
      </w:r>
      <w:r>
        <w:fldChar w:fldCharType="begin"/>
      </w:r>
      <w:r>
        <w:instrText xml:space="preserve"> PAGEREF _Toc21355 \h </w:instrText>
      </w:r>
      <w:r>
        <w:fldChar w:fldCharType="separate"/>
      </w:r>
      <w:r>
        <w:t>20</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_Toc26344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eastAsia="zh-CN"/>
        </w:rPr>
        <w:t>表五</w:t>
      </w:r>
      <w:r>
        <w:rPr>
          <w:rFonts w:hint="default" w:ascii="Times New Roman" w:hAnsi="Times New Roman" w:cs="Times New Roman"/>
          <w:highlight w:val="none"/>
          <w:lang w:val="en-US" w:eastAsia="zh-CN"/>
        </w:rPr>
        <w:t xml:space="preserve">  验收监测质量保证及质量控制</w:t>
      </w:r>
      <w:r>
        <w:tab/>
      </w:r>
      <w:r>
        <w:fldChar w:fldCharType="begin"/>
      </w:r>
      <w:r>
        <w:instrText xml:space="preserve"> PAGEREF _Toc26344 \h </w:instrText>
      </w:r>
      <w:r>
        <w:fldChar w:fldCharType="separate"/>
      </w:r>
      <w:r>
        <w:t>27</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_Toc30246 </w:instrText>
      </w:r>
      <w:r>
        <w:rPr>
          <w:rFonts w:hint="default" w:ascii="Times New Roman" w:hAnsi="Times New Roman" w:eastAsia="黑体" w:cs="Times New Roman"/>
          <w:szCs w:val="24"/>
          <w:highlight w:val="none"/>
          <w:lang w:eastAsia="zh-CN"/>
        </w:rPr>
        <w:fldChar w:fldCharType="separate"/>
      </w:r>
      <w:r>
        <w:rPr>
          <w:rFonts w:hint="default"/>
          <w:lang w:val="en-US" w:eastAsia="zh-CN"/>
        </w:rPr>
        <w:t>5.1检测分析方法</w:t>
      </w:r>
      <w:r>
        <w:tab/>
      </w:r>
      <w:r>
        <w:fldChar w:fldCharType="begin"/>
      </w:r>
      <w:r>
        <w:instrText xml:space="preserve"> PAGEREF _Toc30246 \h </w:instrText>
      </w:r>
      <w:r>
        <w:fldChar w:fldCharType="separate"/>
      </w:r>
      <w:r>
        <w:t>27</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_Toc22586 </w:instrText>
      </w:r>
      <w:r>
        <w:rPr>
          <w:rFonts w:hint="default" w:ascii="Times New Roman" w:hAnsi="Times New Roman" w:eastAsia="黑体" w:cs="Times New Roman"/>
          <w:szCs w:val="24"/>
          <w:highlight w:val="none"/>
          <w:lang w:eastAsia="zh-CN"/>
        </w:rPr>
        <w:fldChar w:fldCharType="separate"/>
      </w:r>
      <w:r>
        <w:rPr>
          <w:rFonts w:hint="default"/>
          <w:lang w:val="en-US" w:eastAsia="zh-CN"/>
        </w:rPr>
        <w:t>5.2质量控制</w:t>
      </w:r>
      <w:r>
        <w:tab/>
      </w:r>
      <w:r>
        <w:fldChar w:fldCharType="begin"/>
      </w:r>
      <w:r>
        <w:instrText xml:space="preserve"> PAGEREF _Toc22586 \h </w:instrText>
      </w:r>
      <w:r>
        <w:fldChar w:fldCharType="separate"/>
      </w:r>
      <w:r>
        <w:t>27</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_Toc31689 </w:instrText>
      </w:r>
      <w:r>
        <w:rPr>
          <w:rFonts w:hint="default" w:ascii="Times New Roman" w:hAnsi="Times New Roman" w:eastAsia="黑体" w:cs="Times New Roman"/>
          <w:szCs w:val="24"/>
          <w:highlight w:val="none"/>
          <w:lang w:eastAsia="zh-CN"/>
        </w:rPr>
        <w:fldChar w:fldCharType="separate"/>
      </w:r>
      <w:r>
        <w:rPr>
          <w:rFonts w:hint="default"/>
          <w:lang w:val="en-US" w:eastAsia="zh-CN"/>
        </w:rPr>
        <w:t>5.</w:t>
      </w:r>
      <w:r>
        <w:rPr>
          <w:rFonts w:hint="eastAsia"/>
          <w:lang w:val="en-US" w:eastAsia="zh-CN"/>
        </w:rPr>
        <w:t>3</w:t>
      </w:r>
      <w:r>
        <w:rPr>
          <w:rFonts w:hint="default"/>
          <w:lang w:val="en-US" w:eastAsia="zh-CN"/>
        </w:rPr>
        <w:t>仪器校准</w:t>
      </w:r>
      <w:r>
        <w:tab/>
      </w:r>
      <w:r>
        <w:fldChar w:fldCharType="begin"/>
      </w:r>
      <w:r>
        <w:instrText xml:space="preserve"> PAGEREF _Toc31689 \h </w:instrText>
      </w:r>
      <w:r>
        <w:fldChar w:fldCharType="separate"/>
      </w:r>
      <w:r>
        <w:t>29</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_Toc2093 </w:instrText>
      </w:r>
      <w:r>
        <w:rPr>
          <w:rFonts w:hint="default" w:ascii="Times New Roman" w:hAnsi="Times New Roman" w:eastAsia="黑体" w:cs="Times New Roman"/>
          <w:szCs w:val="24"/>
          <w:highlight w:val="none"/>
          <w:lang w:eastAsia="zh-CN"/>
        </w:rPr>
        <w:fldChar w:fldCharType="separate"/>
      </w:r>
      <w:r>
        <w:rPr>
          <w:rFonts w:hint="default"/>
          <w:lang w:val="en-US" w:eastAsia="zh-CN"/>
        </w:rPr>
        <w:t>5.4检测人员资质</w:t>
      </w:r>
      <w:r>
        <w:tab/>
      </w:r>
      <w:r>
        <w:fldChar w:fldCharType="begin"/>
      </w:r>
      <w:r>
        <w:instrText xml:space="preserve"> PAGEREF _Toc2093 \h </w:instrText>
      </w:r>
      <w:r>
        <w:fldChar w:fldCharType="separate"/>
      </w:r>
      <w:r>
        <w:t>30</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_Toc16509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eastAsia="zh-CN"/>
        </w:rPr>
        <w:t>表六</w:t>
      </w:r>
      <w:r>
        <w:rPr>
          <w:rFonts w:hint="default" w:ascii="Times New Roman" w:hAnsi="Times New Roman" w:cs="Times New Roman"/>
          <w:highlight w:val="none"/>
          <w:lang w:val="en-US" w:eastAsia="zh-CN"/>
        </w:rPr>
        <w:t xml:space="preserve">  验收监测内容</w:t>
      </w:r>
      <w:r>
        <w:tab/>
      </w:r>
      <w:r>
        <w:fldChar w:fldCharType="begin"/>
      </w:r>
      <w:r>
        <w:instrText xml:space="preserve"> PAGEREF _Toc16509 \h </w:instrText>
      </w:r>
      <w:r>
        <w:fldChar w:fldCharType="separate"/>
      </w:r>
      <w:r>
        <w:t>31</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_Toc30469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6.1废气</w:t>
      </w:r>
      <w:r>
        <w:tab/>
      </w:r>
      <w:r>
        <w:fldChar w:fldCharType="begin"/>
      </w:r>
      <w:r>
        <w:instrText xml:space="preserve"> PAGEREF _Toc30469 \h </w:instrText>
      </w:r>
      <w:r>
        <w:fldChar w:fldCharType="separate"/>
      </w:r>
      <w:r>
        <w:t>31</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_Toc3380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6.2废水</w:t>
      </w:r>
      <w:r>
        <w:tab/>
      </w:r>
      <w:r>
        <w:fldChar w:fldCharType="begin"/>
      </w:r>
      <w:r>
        <w:instrText xml:space="preserve"> PAGEREF _Toc3380 \h </w:instrText>
      </w:r>
      <w:r>
        <w:fldChar w:fldCharType="separate"/>
      </w:r>
      <w:r>
        <w:t>31</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_Toc21699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6.3噪声</w:t>
      </w:r>
      <w:r>
        <w:tab/>
      </w:r>
      <w:r>
        <w:fldChar w:fldCharType="begin"/>
      </w:r>
      <w:r>
        <w:instrText xml:space="preserve"> PAGEREF _Toc21699 \h </w:instrText>
      </w:r>
      <w:r>
        <w:fldChar w:fldCharType="separate"/>
      </w:r>
      <w:r>
        <w:t>31</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_Toc31094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eastAsia="zh-CN"/>
        </w:rPr>
        <w:t>表七</w:t>
      </w:r>
      <w:r>
        <w:rPr>
          <w:rFonts w:hint="default" w:ascii="Times New Roman" w:hAnsi="Times New Roman" w:cs="Times New Roman"/>
          <w:highlight w:val="none"/>
          <w:lang w:val="en-US" w:eastAsia="zh-CN"/>
        </w:rPr>
        <w:t xml:space="preserve">  验收监测期间生产工况及验收监测结果</w:t>
      </w:r>
      <w:r>
        <w:tab/>
      </w:r>
      <w:r>
        <w:fldChar w:fldCharType="begin"/>
      </w:r>
      <w:r>
        <w:instrText xml:space="preserve"> PAGEREF _Toc31094 \h </w:instrText>
      </w:r>
      <w:r>
        <w:fldChar w:fldCharType="separate"/>
      </w:r>
      <w:r>
        <w:t>33</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_Toc3117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7.1验收监测期间生产工况</w:t>
      </w:r>
      <w:r>
        <w:tab/>
      </w:r>
      <w:r>
        <w:fldChar w:fldCharType="begin"/>
      </w:r>
      <w:r>
        <w:instrText xml:space="preserve"> PAGEREF _Toc3117 \h </w:instrText>
      </w:r>
      <w:r>
        <w:fldChar w:fldCharType="separate"/>
      </w:r>
      <w:r>
        <w:t>33</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_Toc14535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7.2验收监测结果</w:t>
      </w:r>
      <w:r>
        <w:tab/>
      </w:r>
      <w:r>
        <w:fldChar w:fldCharType="begin"/>
      </w:r>
      <w:r>
        <w:instrText xml:space="preserve"> PAGEREF _Toc14535 \h </w:instrText>
      </w:r>
      <w:r>
        <w:fldChar w:fldCharType="separate"/>
      </w:r>
      <w:r>
        <w:t>33</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_Toc3880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eastAsia="zh-CN"/>
        </w:rPr>
        <w:t>表八</w:t>
      </w:r>
      <w:r>
        <w:rPr>
          <w:rFonts w:hint="default" w:ascii="Times New Roman" w:hAnsi="Times New Roman" w:cs="Times New Roman"/>
          <w:highlight w:val="none"/>
          <w:lang w:val="en-US" w:eastAsia="zh-CN"/>
        </w:rPr>
        <w:t xml:space="preserve">  验收监测结论</w:t>
      </w:r>
      <w:r>
        <w:tab/>
      </w:r>
      <w:r>
        <w:fldChar w:fldCharType="begin"/>
      </w:r>
      <w:r>
        <w:instrText xml:space="preserve"> PAGEREF _Toc3880 \h </w:instrText>
      </w:r>
      <w:r>
        <w:fldChar w:fldCharType="separate"/>
      </w:r>
      <w:r>
        <w:t>36</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_Toc6181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8.1环境保</w:t>
      </w:r>
      <w:r>
        <w:rPr>
          <w:rFonts w:hint="eastAsia" w:ascii="Times New Roman" w:hAnsi="Times New Roman" w:cs="Times New Roman"/>
          <w:highlight w:val="none"/>
          <w:lang w:val="en-US" w:eastAsia="zh-CN"/>
        </w:rPr>
        <w:t>护</w:t>
      </w:r>
      <w:r>
        <w:rPr>
          <w:rFonts w:hint="default" w:ascii="Times New Roman" w:hAnsi="Times New Roman" w:cs="Times New Roman"/>
          <w:highlight w:val="none"/>
          <w:lang w:val="en-US" w:eastAsia="zh-CN"/>
        </w:rPr>
        <w:t>设施调试效果</w:t>
      </w:r>
      <w:r>
        <w:tab/>
      </w:r>
      <w:r>
        <w:fldChar w:fldCharType="begin"/>
      </w:r>
      <w:r>
        <w:instrText xml:space="preserve"> PAGEREF _Toc6181 \h </w:instrText>
      </w:r>
      <w:r>
        <w:fldChar w:fldCharType="separate"/>
      </w:r>
      <w:r>
        <w:t>36</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_Toc14018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8.2验收结论</w:t>
      </w:r>
      <w:r>
        <w:tab/>
      </w:r>
      <w:r>
        <w:fldChar w:fldCharType="begin"/>
      </w:r>
      <w:r>
        <w:instrText xml:space="preserve"> PAGEREF _Toc14018 \h </w:instrText>
      </w:r>
      <w:r>
        <w:fldChar w:fldCharType="separate"/>
      </w:r>
      <w:r>
        <w:t>36</w:t>
      </w:r>
      <w:r>
        <w:fldChar w:fldCharType="end"/>
      </w:r>
      <w:r>
        <w:rPr>
          <w:rFonts w:hint="default" w:ascii="Times New Roman" w:hAnsi="Times New Roman" w:eastAsia="黑体" w:cs="Times New Roman"/>
          <w:szCs w:val="24"/>
          <w:highlight w:val="none"/>
          <w:lang w:eastAsia="zh-CN"/>
        </w:rPr>
        <w:fldChar w:fldCharType="end"/>
      </w:r>
    </w:p>
    <w:p>
      <w:pPr>
        <w:pStyle w:val="24"/>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_Toc21599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highlight w:val="none"/>
          <w:lang w:val="en-US" w:eastAsia="zh-CN"/>
        </w:rPr>
        <w:t>8.3建议</w:t>
      </w:r>
      <w:r>
        <w:tab/>
      </w:r>
      <w:r>
        <w:fldChar w:fldCharType="begin"/>
      </w:r>
      <w:r>
        <w:instrText xml:space="preserve"> PAGEREF _Toc21599 \h </w:instrText>
      </w:r>
      <w:r>
        <w:fldChar w:fldCharType="separate"/>
      </w:r>
      <w:r>
        <w:t>37</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_Toc23706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附图1：项目地理位置图</w:t>
      </w:r>
      <w:r>
        <w:rPr>
          <w:rFonts w:hint="eastAsia" w:ascii="Times New Roman" w:hAnsi="Times New Roman" w:cs="Times New Roman"/>
          <w:szCs w:val="28"/>
          <w:highlight w:val="none"/>
          <w:lang w:val="en-US" w:eastAsia="zh-CN"/>
        </w:rPr>
        <w:t>（与环评时一致）</w:t>
      </w:r>
      <w:r>
        <w:tab/>
      </w:r>
      <w:r>
        <w:fldChar w:fldCharType="begin"/>
      </w:r>
      <w:r>
        <w:instrText xml:space="preserve"> PAGEREF _Toc23706 \h </w:instrText>
      </w:r>
      <w:r>
        <w:fldChar w:fldCharType="separate"/>
      </w:r>
      <w:r>
        <w:t>38</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_Toc30818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附图2：项目周边环境及敏感目标分布图</w:t>
      </w:r>
      <w:r>
        <w:rPr>
          <w:rFonts w:hint="eastAsia" w:ascii="Times New Roman" w:hAnsi="Times New Roman" w:cs="Times New Roman"/>
          <w:szCs w:val="28"/>
          <w:highlight w:val="none"/>
          <w:lang w:val="en-US" w:eastAsia="zh-CN"/>
        </w:rPr>
        <w:t>（与环评时一致）</w:t>
      </w:r>
      <w:r>
        <w:tab/>
      </w:r>
      <w:r>
        <w:fldChar w:fldCharType="begin"/>
      </w:r>
      <w:r>
        <w:instrText xml:space="preserve"> PAGEREF _Toc30818 \h </w:instrText>
      </w:r>
      <w:r>
        <w:fldChar w:fldCharType="separate"/>
      </w:r>
      <w:r>
        <w:t>39</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_Toc16528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附图3：</w:t>
      </w:r>
      <w:r>
        <w:rPr>
          <w:rFonts w:hint="eastAsia" w:ascii="Times New Roman" w:hAnsi="Times New Roman" w:cs="Times New Roman"/>
          <w:szCs w:val="28"/>
          <w:highlight w:val="none"/>
          <w:lang w:val="en-US" w:eastAsia="zh-CN"/>
        </w:rPr>
        <w:t>环评时</w:t>
      </w:r>
      <w:r>
        <w:rPr>
          <w:rFonts w:hint="default" w:ascii="Times New Roman" w:hAnsi="Times New Roman" w:cs="Times New Roman"/>
          <w:szCs w:val="28"/>
          <w:highlight w:val="none"/>
          <w:lang w:val="en-US" w:eastAsia="zh-CN"/>
        </w:rPr>
        <w:t>总平布置图</w:t>
      </w:r>
      <w:r>
        <w:tab/>
      </w:r>
      <w:r>
        <w:fldChar w:fldCharType="begin"/>
      </w:r>
      <w:r>
        <w:instrText xml:space="preserve"> PAGEREF _Toc16528 \h </w:instrText>
      </w:r>
      <w:r>
        <w:fldChar w:fldCharType="separate"/>
      </w:r>
      <w:r>
        <w:t>40</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_Toc10922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附图4：</w:t>
      </w:r>
      <w:r>
        <w:rPr>
          <w:rFonts w:hint="eastAsia" w:ascii="Times New Roman" w:hAnsi="Times New Roman" w:cs="Times New Roman"/>
          <w:szCs w:val="28"/>
          <w:highlight w:val="none"/>
          <w:lang w:val="en-US" w:eastAsia="zh-CN"/>
        </w:rPr>
        <w:t>验收</w:t>
      </w:r>
      <w:r>
        <w:rPr>
          <w:rFonts w:hint="default" w:ascii="Times New Roman" w:hAnsi="Times New Roman" w:cs="Times New Roman"/>
          <w:szCs w:val="28"/>
          <w:highlight w:val="none"/>
          <w:lang w:val="en-US" w:eastAsia="zh-CN"/>
        </w:rPr>
        <w:t>时总平布置图</w:t>
      </w:r>
      <w:r>
        <w:tab/>
      </w:r>
      <w:r>
        <w:fldChar w:fldCharType="begin"/>
      </w:r>
      <w:r>
        <w:instrText xml:space="preserve"> PAGEREF _Toc10922 \h </w:instrText>
      </w:r>
      <w:r>
        <w:fldChar w:fldCharType="separate"/>
      </w:r>
      <w:r>
        <w:t>41</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_Toc9435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附图</w:t>
      </w:r>
      <w:r>
        <w:rPr>
          <w:rFonts w:hint="eastAsia" w:ascii="Times New Roman" w:hAnsi="Times New Roman" w:cs="Times New Roman"/>
          <w:szCs w:val="28"/>
          <w:highlight w:val="none"/>
          <w:lang w:val="en-US" w:eastAsia="zh-CN"/>
        </w:rPr>
        <w:t>5</w:t>
      </w:r>
      <w:r>
        <w:rPr>
          <w:rFonts w:hint="default" w:ascii="Times New Roman" w:hAnsi="Times New Roman" w:cs="Times New Roman"/>
          <w:szCs w:val="28"/>
          <w:highlight w:val="none"/>
          <w:lang w:val="en-US" w:eastAsia="zh-CN"/>
        </w:rPr>
        <w:t>：</w:t>
      </w:r>
      <w:r>
        <w:rPr>
          <w:rFonts w:hint="eastAsia" w:ascii="Times New Roman" w:hAnsi="Times New Roman" w:cs="Times New Roman"/>
          <w:szCs w:val="28"/>
          <w:highlight w:val="none"/>
          <w:lang w:val="en-US" w:eastAsia="zh-CN"/>
        </w:rPr>
        <w:t>雨污管网图（</w:t>
      </w:r>
      <w:r>
        <w:rPr>
          <w:rFonts w:hint="eastAsia" w:cs="Times New Roman"/>
          <w:szCs w:val="28"/>
          <w:highlight w:val="none"/>
          <w:lang w:val="en-US" w:eastAsia="zh-CN"/>
        </w:rPr>
        <w:t>与</w:t>
      </w:r>
      <w:r>
        <w:rPr>
          <w:rFonts w:hint="eastAsia" w:ascii="Times New Roman" w:hAnsi="Times New Roman" w:cs="Times New Roman"/>
          <w:szCs w:val="28"/>
          <w:highlight w:val="none"/>
          <w:lang w:val="en-US" w:eastAsia="zh-CN"/>
        </w:rPr>
        <w:t>环评时</w:t>
      </w:r>
      <w:r>
        <w:rPr>
          <w:rFonts w:hint="eastAsia" w:cs="Times New Roman"/>
          <w:szCs w:val="28"/>
          <w:highlight w:val="none"/>
          <w:lang w:val="en-US" w:eastAsia="zh-CN"/>
        </w:rPr>
        <w:t>一致</w:t>
      </w:r>
      <w:r>
        <w:rPr>
          <w:rFonts w:hint="eastAsia" w:ascii="Times New Roman" w:hAnsi="Times New Roman" w:cs="Times New Roman"/>
          <w:szCs w:val="28"/>
          <w:highlight w:val="none"/>
          <w:lang w:val="en-US" w:eastAsia="zh-CN"/>
        </w:rPr>
        <w:t>）</w:t>
      </w:r>
      <w:r>
        <w:tab/>
      </w:r>
      <w:r>
        <w:fldChar w:fldCharType="begin"/>
      </w:r>
      <w:r>
        <w:instrText xml:space="preserve"> PAGEREF _Toc9435 \h </w:instrText>
      </w:r>
      <w:r>
        <w:fldChar w:fldCharType="separate"/>
      </w:r>
      <w:r>
        <w:t>42</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_Toc19321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附图</w:t>
      </w:r>
      <w:r>
        <w:rPr>
          <w:rFonts w:hint="eastAsia" w:cs="Times New Roman"/>
          <w:szCs w:val="28"/>
          <w:highlight w:val="none"/>
          <w:lang w:val="en-US" w:eastAsia="zh-CN"/>
        </w:rPr>
        <w:t>6</w:t>
      </w:r>
      <w:r>
        <w:rPr>
          <w:rFonts w:hint="default" w:ascii="Times New Roman" w:hAnsi="Times New Roman" w:cs="Times New Roman"/>
          <w:szCs w:val="28"/>
          <w:highlight w:val="none"/>
          <w:lang w:val="en-US" w:eastAsia="zh-CN"/>
        </w:rPr>
        <w:t>：监测布点图</w:t>
      </w:r>
      <w:r>
        <w:tab/>
      </w:r>
      <w:r>
        <w:fldChar w:fldCharType="begin"/>
      </w:r>
      <w:r>
        <w:instrText xml:space="preserve"> PAGEREF _Toc19321 \h </w:instrText>
      </w:r>
      <w:r>
        <w:fldChar w:fldCharType="separate"/>
      </w:r>
      <w:r>
        <w:t>43</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_Toc7166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ascii="Times New Roman" w:hAnsi="Times New Roman" w:cs="Times New Roman"/>
          <w:szCs w:val="28"/>
          <w:highlight w:val="none"/>
          <w:lang w:val="en-US" w:eastAsia="zh-CN"/>
        </w:rPr>
        <w:t>1</w:t>
      </w:r>
      <w:r>
        <w:rPr>
          <w:rFonts w:hint="default" w:ascii="Times New Roman" w:hAnsi="Times New Roman" w:cs="Times New Roman"/>
          <w:szCs w:val="28"/>
          <w:highlight w:val="none"/>
          <w:lang w:val="en-US" w:eastAsia="zh-CN"/>
        </w:rPr>
        <w:t>：委托书</w:t>
      </w:r>
      <w:r>
        <w:tab/>
      </w:r>
      <w:r>
        <w:fldChar w:fldCharType="begin"/>
      </w:r>
      <w:r>
        <w:instrText xml:space="preserve"> PAGEREF _Toc7166 \h </w:instrText>
      </w:r>
      <w:r>
        <w:fldChar w:fldCharType="separate"/>
      </w:r>
      <w:r>
        <w:t>44</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_Toc4481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ascii="Times New Roman" w:hAnsi="Times New Roman" w:cs="Times New Roman"/>
          <w:szCs w:val="28"/>
          <w:highlight w:val="none"/>
          <w:lang w:val="en-US" w:eastAsia="zh-CN"/>
        </w:rPr>
        <w:t>2</w:t>
      </w:r>
      <w:r>
        <w:rPr>
          <w:rFonts w:hint="default" w:ascii="Times New Roman" w:hAnsi="Times New Roman" w:cs="Times New Roman"/>
          <w:szCs w:val="28"/>
          <w:highlight w:val="none"/>
          <w:lang w:val="en-US" w:eastAsia="zh-CN"/>
        </w:rPr>
        <w:t>：环评批复</w:t>
      </w:r>
      <w:r>
        <w:tab/>
      </w:r>
      <w:r>
        <w:fldChar w:fldCharType="begin"/>
      </w:r>
      <w:r>
        <w:instrText xml:space="preserve"> PAGEREF _Toc4481 \h </w:instrText>
      </w:r>
      <w:r>
        <w:fldChar w:fldCharType="separate"/>
      </w:r>
      <w:r>
        <w:t>45</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_Toc7986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cs="Times New Roman"/>
          <w:szCs w:val="28"/>
          <w:highlight w:val="none"/>
          <w:lang w:val="en-US" w:eastAsia="zh-CN"/>
        </w:rPr>
        <w:t>3</w:t>
      </w:r>
      <w:r>
        <w:rPr>
          <w:rFonts w:hint="default" w:ascii="Times New Roman" w:hAnsi="Times New Roman" w:cs="Times New Roman"/>
          <w:szCs w:val="28"/>
          <w:highlight w:val="none"/>
          <w:lang w:val="en-US" w:eastAsia="zh-CN"/>
        </w:rPr>
        <w:t>：</w:t>
      </w:r>
      <w:r>
        <w:rPr>
          <w:rFonts w:hint="eastAsia" w:cs="Times New Roman"/>
          <w:szCs w:val="28"/>
          <w:highlight w:val="none"/>
          <w:lang w:val="en-US" w:eastAsia="zh-CN"/>
        </w:rPr>
        <w:t>补充说明评审意见</w:t>
      </w:r>
      <w:r>
        <w:tab/>
      </w:r>
      <w:r>
        <w:fldChar w:fldCharType="begin"/>
      </w:r>
      <w:r>
        <w:instrText xml:space="preserve"> PAGEREF _Toc7986 \h </w:instrText>
      </w:r>
      <w:r>
        <w:fldChar w:fldCharType="separate"/>
      </w:r>
      <w:r>
        <w:t>46</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_Toc291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ascii="Times New Roman" w:hAnsi="Times New Roman" w:cs="Times New Roman"/>
          <w:szCs w:val="28"/>
          <w:highlight w:val="none"/>
          <w:lang w:val="en-US" w:eastAsia="zh-CN"/>
        </w:rPr>
        <w:t>3</w:t>
      </w:r>
      <w:r>
        <w:rPr>
          <w:rFonts w:hint="default" w:ascii="Times New Roman" w:hAnsi="Times New Roman" w:cs="Times New Roman"/>
          <w:szCs w:val="28"/>
          <w:highlight w:val="none"/>
          <w:lang w:val="en-US" w:eastAsia="zh-CN"/>
        </w:rPr>
        <w:t>：营业执照</w:t>
      </w:r>
      <w:r>
        <w:rPr>
          <w:rFonts w:hint="eastAsia" w:cs="Times New Roman"/>
          <w:szCs w:val="28"/>
          <w:highlight w:val="none"/>
          <w:lang w:val="en-US" w:eastAsia="zh-CN"/>
        </w:rPr>
        <w:t>及法人身份证</w:t>
      </w:r>
      <w:r>
        <w:tab/>
      </w:r>
      <w:r>
        <w:fldChar w:fldCharType="begin"/>
      </w:r>
      <w:r>
        <w:instrText xml:space="preserve"> PAGEREF _Toc291 \h </w:instrText>
      </w:r>
      <w:r>
        <w:fldChar w:fldCharType="separate"/>
      </w:r>
      <w:r>
        <w:t>47</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_Toc31030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ascii="Times New Roman" w:hAnsi="Times New Roman" w:cs="Times New Roman"/>
          <w:szCs w:val="28"/>
          <w:highlight w:val="none"/>
          <w:lang w:val="en-US" w:eastAsia="zh-CN"/>
        </w:rPr>
        <w:t>4</w:t>
      </w:r>
      <w:r>
        <w:rPr>
          <w:rFonts w:hint="default" w:ascii="Times New Roman" w:hAnsi="Times New Roman" w:cs="Times New Roman"/>
          <w:szCs w:val="28"/>
          <w:highlight w:val="none"/>
          <w:lang w:val="en-US" w:eastAsia="zh-CN"/>
        </w:rPr>
        <w:t>：工况说明</w:t>
      </w:r>
      <w:r>
        <w:tab/>
      </w:r>
      <w:r>
        <w:fldChar w:fldCharType="begin"/>
      </w:r>
      <w:r>
        <w:instrText xml:space="preserve"> PAGEREF _Toc31030 \h </w:instrText>
      </w:r>
      <w:r>
        <w:fldChar w:fldCharType="separate"/>
      </w:r>
      <w:r>
        <w:t>48</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_Toc14968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ascii="Times New Roman" w:hAnsi="Times New Roman" w:cs="Times New Roman"/>
          <w:szCs w:val="28"/>
          <w:highlight w:val="none"/>
          <w:lang w:val="en-US" w:eastAsia="zh-CN"/>
        </w:rPr>
        <w:t>5</w:t>
      </w:r>
      <w:r>
        <w:rPr>
          <w:rFonts w:hint="default" w:ascii="Times New Roman" w:hAnsi="Times New Roman" w:cs="Times New Roman"/>
          <w:szCs w:val="28"/>
          <w:highlight w:val="none"/>
          <w:lang w:val="en-US" w:eastAsia="zh-CN"/>
        </w:rPr>
        <w:t>：排污许可证</w:t>
      </w:r>
      <w:r>
        <w:tab/>
      </w:r>
      <w:r>
        <w:fldChar w:fldCharType="begin"/>
      </w:r>
      <w:r>
        <w:instrText xml:space="preserve"> PAGEREF _Toc14968 \h </w:instrText>
      </w:r>
      <w:r>
        <w:fldChar w:fldCharType="separate"/>
      </w:r>
      <w:r>
        <w:t>49</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_Toc12466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ascii="Times New Roman" w:hAnsi="Times New Roman" w:cs="Times New Roman"/>
          <w:szCs w:val="28"/>
          <w:highlight w:val="none"/>
          <w:lang w:val="en-US" w:eastAsia="zh-CN"/>
        </w:rPr>
        <w:t>6</w:t>
      </w:r>
      <w:r>
        <w:rPr>
          <w:rFonts w:hint="default" w:ascii="Times New Roman" w:hAnsi="Times New Roman" w:cs="Times New Roman"/>
          <w:szCs w:val="28"/>
          <w:highlight w:val="none"/>
          <w:lang w:val="en-US" w:eastAsia="zh-CN"/>
        </w:rPr>
        <w:t>：危废</w:t>
      </w:r>
      <w:r>
        <w:rPr>
          <w:rFonts w:hint="eastAsia" w:ascii="Times New Roman" w:hAnsi="Times New Roman" w:cs="Times New Roman"/>
          <w:szCs w:val="28"/>
          <w:highlight w:val="none"/>
          <w:lang w:val="en-US" w:eastAsia="zh-CN"/>
        </w:rPr>
        <w:t>处置</w:t>
      </w:r>
      <w:r>
        <w:rPr>
          <w:rFonts w:hint="eastAsia" w:cs="Times New Roman"/>
          <w:szCs w:val="28"/>
          <w:highlight w:val="none"/>
          <w:lang w:val="en-US" w:eastAsia="zh-CN"/>
        </w:rPr>
        <w:t>协议</w:t>
      </w:r>
      <w:r>
        <w:tab/>
      </w:r>
      <w:r>
        <w:fldChar w:fldCharType="begin"/>
      </w:r>
      <w:r>
        <w:instrText xml:space="preserve"> PAGEREF _Toc12466 \h </w:instrText>
      </w:r>
      <w:r>
        <w:fldChar w:fldCharType="separate"/>
      </w:r>
      <w:r>
        <w:t>50</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_Toc15541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cs="Times New Roman"/>
          <w:szCs w:val="28"/>
          <w:highlight w:val="none"/>
          <w:lang w:val="en-US" w:eastAsia="zh-CN"/>
        </w:rPr>
        <w:t>7</w:t>
      </w:r>
      <w:r>
        <w:rPr>
          <w:rFonts w:hint="default" w:ascii="Times New Roman" w:hAnsi="Times New Roman" w:cs="Times New Roman"/>
          <w:szCs w:val="28"/>
          <w:highlight w:val="none"/>
          <w:lang w:val="en-US" w:eastAsia="zh-CN"/>
        </w:rPr>
        <w:t>：</w:t>
      </w:r>
      <w:r>
        <w:rPr>
          <w:rFonts w:hint="eastAsia" w:cs="Times New Roman"/>
          <w:szCs w:val="28"/>
          <w:highlight w:val="none"/>
          <w:lang w:val="en-US" w:eastAsia="zh-CN"/>
        </w:rPr>
        <w:t>危废转移联单</w:t>
      </w:r>
      <w:r>
        <w:tab/>
      </w:r>
      <w:r>
        <w:fldChar w:fldCharType="begin"/>
      </w:r>
      <w:r>
        <w:instrText xml:space="preserve"> PAGEREF _Toc15541 \h </w:instrText>
      </w:r>
      <w:r>
        <w:fldChar w:fldCharType="separate"/>
      </w:r>
      <w:r>
        <w:t>51</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_Toc13958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cs="Times New Roman"/>
          <w:szCs w:val="28"/>
          <w:highlight w:val="none"/>
          <w:lang w:val="en-US" w:eastAsia="zh-CN"/>
        </w:rPr>
        <w:t>8</w:t>
      </w:r>
      <w:r>
        <w:rPr>
          <w:rFonts w:hint="default" w:ascii="Times New Roman" w:hAnsi="Times New Roman" w:cs="Times New Roman"/>
          <w:szCs w:val="28"/>
          <w:highlight w:val="none"/>
          <w:lang w:val="en-US" w:eastAsia="zh-CN"/>
        </w:rPr>
        <w:t>：</w:t>
      </w:r>
      <w:r>
        <w:rPr>
          <w:rFonts w:hint="eastAsia" w:cs="Times New Roman"/>
          <w:szCs w:val="28"/>
          <w:highlight w:val="none"/>
          <w:lang w:val="en-US" w:eastAsia="zh-CN"/>
        </w:rPr>
        <w:t>固废管理系统截图</w:t>
      </w:r>
      <w:r>
        <w:tab/>
      </w:r>
      <w:r>
        <w:fldChar w:fldCharType="begin"/>
      </w:r>
      <w:r>
        <w:instrText xml:space="preserve"> PAGEREF _Toc13958 \h </w:instrText>
      </w:r>
      <w:r>
        <w:fldChar w:fldCharType="separate"/>
      </w:r>
      <w:r>
        <w:t>52</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_Toc29107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cs="Times New Roman"/>
          <w:szCs w:val="28"/>
          <w:highlight w:val="none"/>
          <w:lang w:val="en-US" w:eastAsia="zh-CN"/>
        </w:rPr>
        <w:t>9</w:t>
      </w:r>
      <w:r>
        <w:rPr>
          <w:rFonts w:hint="default" w:ascii="Times New Roman" w:hAnsi="Times New Roman" w:cs="Times New Roman"/>
          <w:szCs w:val="28"/>
          <w:highlight w:val="none"/>
          <w:lang w:val="en-US" w:eastAsia="zh-CN"/>
        </w:rPr>
        <w:t>：</w:t>
      </w:r>
      <w:r>
        <w:rPr>
          <w:rFonts w:hint="eastAsia" w:ascii="Times New Roman" w:hAnsi="Times New Roman" w:cs="Times New Roman"/>
          <w:szCs w:val="28"/>
          <w:highlight w:val="none"/>
          <w:lang w:val="en-US" w:eastAsia="zh-CN"/>
        </w:rPr>
        <w:t>竣工日期网络公示截图</w:t>
      </w:r>
      <w:r>
        <w:tab/>
      </w:r>
      <w:r>
        <w:fldChar w:fldCharType="begin"/>
      </w:r>
      <w:r>
        <w:instrText xml:space="preserve"> PAGEREF _Toc29107 \h </w:instrText>
      </w:r>
      <w:r>
        <w:fldChar w:fldCharType="separate"/>
      </w:r>
      <w:r>
        <w:t>53</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_Toc32702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cs="Times New Roman"/>
          <w:szCs w:val="28"/>
          <w:highlight w:val="none"/>
          <w:lang w:val="en-US" w:eastAsia="zh-CN"/>
        </w:rPr>
        <w:t>10</w:t>
      </w:r>
      <w:r>
        <w:rPr>
          <w:rFonts w:hint="default" w:ascii="Times New Roman" w:hAnsi="Times New Roman" w:cs="Times New Roman"/>
          <w:szCs w:val="28"/>
          <w:highlight w:val="none"/>
          <w:lang w:val="en-US" w:eastAsia="zh-CN"/>
        </w:rPr>
        <w:t>：</w:t>
      </w:r>
      <w:r>
        <w:rPr>
          <w:rFonts w:hint="eastAsia" w:ascii="Times New Roman" w:hAnsi="Times New Roman" w:cs="Times New Roman"/>
          <w:szCs w:val="28"/>
          <w:highlight w:val="none"/>
          <w:lang w:val="en-US" w:eastAsia="zh-CN"/>
        </w:rPr>
        <w:t>调试日期网络公示截图</w:t>
      </w:r>
      <w:r>
        <w:tab/>
      </w:r>
      <w:r>
        <w:fldChar w:fldCharType="begin"/>
      </w:r>
      <w:r>
        <w:instrText xml:space="preserve"> PAGEREF _Toc32702 \h </w:instrText>
      </w:r>
      <w:r>
        <w:fldChar w:fldCharType="separate"/>
      </w:r>
      <w:r>
        <w:t>54</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_Toc10904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cs="Times New Roman"/>
          <w:szCs w:val="28"/>
          <w:highlight w:val="none"/>
          <w:lang w:val="en-US" w:eastAsia="zh-CN"/>
        </w:rPr>
        <w:t>11</w:t>
      </w:r>
      <w:r>
        <w:rPr>
          <w:rFonts w:hint="default" w:ascii="Times New Roman" w:hAnsi="Times New Roman" w:cs="Times New Roman"/>
          <w:szCs w:val="28"/>
          <w:highlight w:val="none"/>
          <w:lang w:val="en-US" w:eastAsia="zh-CN"/>
        </w:rPr>
        <w:t>：检测报告</w:t>
      </w:r>
      <w:r>
        <w:tab/>
      </w:r>
      <w:r>
        <w:fldChar w:fldCharType="begin"/>
      </w:r>
      <w:r>
        <w:instrText xml:space="preserve"> PAGEREF _Toc10904 \h </w:instrText>
      </w:r>
      <w:r>
        <w:fldChar w:fldCharType="separate"/>
      </w:r>
      <w:r>
        <w:t>55</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_Toc12294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ascii="Times New Roman" w:hAnsi="Times New Roman" w:cs="Times New Roman"/>
          <w:szCs w:val="28"/>
          <w:highlight w:val="none"/>
          <w:lang w:val="en-US" w:eastAsia="zh-CN"/>
        </w:rPr>
        <w:t>1</w:t>
      </w:r>
      <w:r>
        <w:rPr>
          <w:rFonts w:hint="eastAsia" w:cs="Times New Roman"/>
          <w:szCs w:val="28"/>
          <w:highlight w:val="none"/>
          <w:lang w:val="en-US" w:eastAsia="zh-CN"/>
        </w:rPr>
        <w:t>2</w:t>
      </w:r>
      <w:r>
        <w:rPr>
          <w:rFonts w:hint="default" w:ascii="Times New Roman" w:hAnsi="Times New Roman" w:cs="Times New Roman"/>
          <w:szCs w:val="28"/>
          <w:highlight w:val="none"/>
          <w:lang w:val="en-US" w:eastAsia="zh-CN"/>
        </w:rPr>
        <w:t>：</w:t>
      </w:r>
      <w:r>
        <w:rPr>
          <w:rFonts w:hint="eastAsia" w:ascii="Times New Roman" w:hAnsi="Times New Roman" w:cs="Times New Roman"/>
          <w:szCs w:val="28"/>
          <w:highlight w:val="none"/>
          <w:lang w:val="en-US" w:eastAsia="zh-CN"/>
        </w:rPr>
        <w:t>自查</w:t>
      </w:r>
      <w:r>
        <w:rPr>
          <w:rFonts w:hint="default" w:ascii="Times New Roman" w:hAnsi="Times New Roman" w:cs="Times New Roman"/>
          <w:szCs w:val="28"/>
          <w:highlight w:val="none"/>
          <w:lang w:val="en-US" w:eastAsia="zh-CN"/>
        </w:rPr>
        <w:t>报告</w:t>
      </w:r>
      <w:r>
        <w:tab/>
      </w:r>
      <w:r>
        <w:fldChar w:fldCharType="begin"/>
      </w:r>
      <w:r>
        <w:instrText xml:space="preserve"> PAGEREF _Toc12294 \h </w:instrText>
      </w:r>
      <w:r>
        <w:fldChar w:fldCharType="separate"/>
      </w:r>
      <w:r>
        <w:t>56</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_Toc16123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ascii="Times New Roman" w:hAnsi="Times New Roman" w:cs="Times New Roman"/>
          <w:szCs w:val="28"/>
          <w:highlight w:val="none"/>
          <w:lang w:val="en-US" w:eastAsia="zh-CN"/>
        </w:rPr>
        <w:t>1</w:t>
      </w:r>
      <w:r>
        <w:rPr>
          <w:rFonts w:hint="eastAsia" w:cs="Times New Roman"/>
          <w:szCs w:val="28"/>
          <w:highlight w:val="none"/>
          <w:lang w:val="en-US" w:eastAsia="zh-CN"/>
        </w:rPr>
        <w:t>3</w:t>
      </w:r>
      <w:r>
        <w:rPr>
          <w:rFonts w:hint="default" w:ascii="Times New Roman" w:hAnsi="Times New Roman" w:cs="Times New Roman"/>
          <w:szCs w:val="28"/>
          <w:highlight w:val="none"/>
          <w:lang w:val="en-US" w:eastAsia="zh-CN"/>
        </w:rPr>
        <w:t>：</w:t>
      </w:r>
      <w:r>
        <w:rPr>
          <w:rFonts w:hint="eastAsia" w:ascii="Times New Roman" w:hAnsi="Times New Roman" w:cs="Times New Roman"/>
          <w:szCs w:val="28"/>
          <w:highlight w:val="none"/>
          <w:lang w:val="en-US" w:eastAsia="zh-CN"/>
        </w:rPr>
        <w:t>验收意见</w:t>
      </w:r>
      <w:r>
        <w:tab/>
      </w:r>
      <w:r>
        <w:fldChar w:fldCharType="begin"/>
      </w:r>
      <w:r>
        <w:instrText xml:space="preserve"> PAGEREF _Toc16123 \h </w:instrText>
      </w:r>
      <w:r>
        <w:fldChar w:fldCharType="separate"/>
      </w:r>
      <w:r>
        <w:t>57</w:t>
      </w:r>
      <w:r>
        <w:fldChar w:fldCharType="end"/>
      </w:r>
      <w:r>
        <w:rPr>
          <w:rFonts w:hint="default" w:ascii="Times New Roman" w:hAnsi="Times New Roman" w:eastAsia="黑体" w:cs="Times New Roman"/>
          <w:szCs w:val="24"/>
          <w:highlight w:val="none"/>
          <w:lang w:eastAsia="zh-CN"/>
        </w:rPr>
        <w:fldChar w:fldCharType="end"/>
      </w:r>
    </w:p>
    <w:p>
      <w:pPr>
        <w:pStyle w:val="22"/>
        <w:tabs>
          <w:tab w:val="right" w:leader="dot" w:pos="9072"/>
        </w:tabs>
      </w:pPr>
      <w:r>
        <w:rPr>
          <w:rFonts w:hint="default" w:ascii="Times New Roman" w:hAnsi="Times New Roman" w:eastAsia="黑体" w:cs="Times New Roman"/>
          <w:szCs w:val="24"/>
          <w:highlight w:val="none"/>
          <w:lang w:eastAsia="zh-CN"/>
        </w:rPr>
        <w:fldChar w:fldCharType="begin"/>
      </w:r>
      <w:r>
        <w:rPr>
          <w:rFonts w:hint="default" w:ascii="Times New Roman" w:hAnsi="Times New Roman" w:eastAsia="黑体" w:cs="Times New Roman"/>
          <w:szCs w:val="24"/>
          <w:highlight w:val="none"/>
          <w:lang w:eastAsia="zh-CN"/>
        </w:rPr>
        <w:instrText xml:space="preserve"> HYPERLINK \l _Toc24781 </w:instrText>
      </w:r>
      <w:r>
        <w:rPr>
          <w:rFonts w:hint="default" w:ascii="Times New Roman" w:hAnsi="Times New Roman" w:eastAsia="黑体" w:cs="Times New Roman"/>
          <w:szCs w:val="24"/>
          <w:highlight w:val="none"/>
          <w:lang w:eastAsia="zh-CN"/>
        </w:rPr>
        <w:fldChar w:fldCharType="separate"/>
      </w:r>
      <w:r>
        <w:rPr>
          <w:rFonts w:hint="default" w:ascii="Times New Roman" w:hAnsi="Times New Roman" w:cs="Times New Roman"/>
          <w:szCs w:val="28"/>
          <w:highlight w:val="none"/>
          <w:lang w:val="en-US" w:eastAsia="zh-CN"/>
        </w:rPr>
        <w:t>附件</w:t>
      </w:r>
      <w:r>
        <w:rPr>
          <w:rFonts w:hint="eastAsia" w:ascii="Times New Roman" w:hAnsi="Times New Roman" w:cs="Times New Roman"/>
          <w:szCs w:val="28"/>
          <w:highlight w:val="none"/>
          <w:lang w:val="en-US" w:eastAsia="zh-CN"/>
        </w:rPr>
        <w:t>1</w:t>
      </w:r>
      <w:r>
        <w:rPr>
          <w:rFonts w:hint="eastAsia" w:cs="Times New Roman"/>
          <w:szCs w:val="28"/>
          <w:highlight w:val="none"/>
          <w:lang w:val="en-US" w:eastAsia="zh-CN"/>
        </w:rPr>
        <w:t>4</w:t>
      </w:r>
      <w:r>
        <w:rPr>
          <w:rFonts w:hint="default" w:ascii="Times New Roman" w:hAnsi="Times New Roman" w:cs="Times New Roman"/>
          <w:szCs w:val="28"/>
          <w:highlight w:val="none"/>
          <w:lang w:val="en-US" w:eastAsia="zh-CN"/>
        </w:rPr>
        <w:t>：</w:t>
      </w:r>
      <w:r>
        <w:rPr>
          <w:rFonts w:hint="eastAsia" w:ascii="Times New Roman" w:hAnsi="Times New Roman" w:cs="Times New Roman"/>
          <w:szCs w:val="28"/>
          <w:highlight w:val="none"/>
          <w:lang w:val="en-US" w:eastAsia="zh-CN"/>
        </w:rPr>
        <w:t>其他需说明的事项</w:t>
      </w:r>
      <w:r>
        <w:tab/>
      </w:r>
      <w:r>
        <w:fldChar w:fldCharType="begin"/>
      </w:r>
      <w:r>
        <w:instrText xml:space="preserve"> PAGEREF _Toc24781 \h </w:instrText>
      </w:r>
      <w:r>
        <w:fldChar w:fldCharType="separate"/>
      </w:r>
      <w:r>
        <w:t>61</w:t>
      </w:r>
      <w:r>
        <w:fldChar w:fldCharType="end"/>
      </w:r>
      <w:r>
        <w:rPr>
          <w:rFonts w:hint="default" w:ascii="Times New Roman" w:hAnsi="Times New Roman" w:eastAsia="黑体" w:cs="Times New Roman"/>
          <w:szCs w:val="24"/>
          <w:highlight w:val="none"/>
          <w:lang w:eastAsia="zh-CN"/>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cs="Times New Roman"/>
          <w:highlight w:val="none"/>
          <w:lang w:eastAsia="zh-CN"/>
        </w:rPr>
        <w:sectPr>
          <w:pgSz w:w="11906" w:h="16838"/>
          <w:pgMar w:top="1417" w:right="1417" w:bottom="1417" w:left="1417" w:header="851" w:footer="992" w:gutter="0"/>
          <w:pgNumType w:start="1"/>
          <w:cols w:space="720" w:num="1"/>
          <w:rtlGutter w:val="0"/>
          <w:docGrid w:type="lines" w:linePitch="318" w:charSpace="0"/>
        </w:sectPr>
      </w:pPr>
      <w:r>
        <w:rPr>
          <w:rFonts w:hint="default" w:ascii="Times New Roman" w:hAnsi="Times New Roman" w:eastAsia="黑体" w:cs="Times New Roman"/>
          <w:szCs w:val="24"/>
          <w:highlight w:val="none"/>
          <w:lang w:eastAsia="zh-CN"/>
        </w:rPr>
        <w:fldChar w:fldCharType="end"/>
      </w:r>
    </w:p>
    <w:p>
      <w:pPr>
        <w:pStyle w:val="5"/>
        <w:keepNext/>
        <w:keepLines/>
        <w:pageBreakBefore w:val="0"/>
        <w:widowControl w:val="0"/>
        <w:kinsoku/>
        <w:wordWrap/>
        <w:overflowPunct/>
        <w:topLinePunct w:val="0"/>
        <w:autoSpaceDE/>
        <w:autoSpaceDN/>
        <w:bidi w:val="0"/>
        <w:adjustRightInd w:val="0"/>
        <w:snapToGrid w:val="0"/>
        <w:spacing w:before="224" w:beforeLines="70" w:after="224" w:afterLines="70"/>
        <w:textAlignment w:val="auto"/>
        <w:rPr>
          <w:rFonts w:hint="default" w:ascii="Times New Roman" w:hAnsi="Times New Roman" w:cs="Times New Roman"/>
          <w:color w:val="auto"/>
          <w:highlight w:val="none"/>
          <w:lang w:val="en-US" w:eastAsia="zh-CN"/>
        </w:rPr>
      </w:pPr>
      <w:bookmarkStart w:id="1" w:name="_Toc23463"/>
      <w:bookmarkStart w:id="2" w:name="_Toc30174"/>
      <w:r>
        <w:rPr>
          <w:rFonts w:hint="default" w:ascii="Times New Roman" w:hAnsi="Times New Roman" w:cs="Times New Roman"/>
          <w:highlight w:val="none"/>
          <w:lang w:eastAsia="zh-CN"/>
        </w:rPr>
        <w:t>表一</w:t>
      </w:r>
      <w:r>
        <w:rPr>
          <w:rFonts w:hint="default" w:ascii="Times New Roman" w:hAnsi="Times New Roman" w:cs="Times New Roman"/>
          <w:highlight w:val="none"/>
          <w:lang w:val="en-US" w:eastAsia="zh-CN"/>
        </w:rPr>
        <w:t xml:space="preserve">  项目总体情况</w:t>
      </w:r>
      <w:bookmarkEnd w:id="1"/>
      <w:bookmarkEnd w:id="2"/>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11"/>
        <w:gridCol w:w="2283"/>
        <w:gridCol w:w="1487"/>
        <w:gridCol w:w="1386"/>
        <w:gridCol w:w="912"/>
        <w:gridCol w:w="13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377" w:type="dxa"/>
            <w:gridSpan w:val="5"/>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vertAlign w:val="baseline"/>
                <w:lang w:eastAsia="zh-CN"/>
              </w:rPr>
              <w:t>钢渣综合利用技改项目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建设单位名称</w:t>
            </w:r>
          </w:p>
        </w:tc>
        <w:tc>
          <w:tcPr>
            <w:tcW w:w="7377" w:type="dxa"/>
            <w:gridSpan w:val="5"/>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vertAlign w:val="baseline"/>
                <w:lang w:eastAsia="zh-CN"/>
              </w:rPr>
              <w:t>福安市青拓环保建材有限公司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建设项目性质</w:t>
            </w:r>
          </w:p>
        </w:tc>
        <w:tc>
          <w:tcPr>
            <w:tcW w:w="7377" w:type="dxa"/>
            <w:gridSpan w:val="5"/>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w:t>
            </w:r>
            <w:r>
              <w:rPr>
                <w:rFonts w:hint="default" w:ascii="Times New Roman" w:hAnsi="Times New Roman" w:cs="Times New Roman"/>
                <w:color w:val="auto"/>
                <w:sz w:val="24"/>
                <w:szCs w:val="24"/>
                <w:highlight w:val="none"/>
                <w:vertAlign w:val="baseline"/>
                <w:lang w:val="en-US" w:eastAsia="zh-CN"/>
              </w:rPr>
              <w:t xml:space="preserve">  </w:t>
            </w:r>
            <w:r>
              <w:rPr>
                <w:rFonts w:hint="default" w:ascii="Times New Roman" w:hAnsi="Times New Roman" w:eastAsia="宋体" w:cs="Times New Roman"/>
                <w:color w:val="auto"/>
                <w:sz w:val="24"/>
                <w:szCs w:val="24"/>
                <w:highlight w:val="none"/>
              </w:rPr>
              <w:t xml:space="preserve">  改扩建</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技改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377" w:type="dxa"/>
            <w:gridSpan w:val="5"/>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福建省宁德市福安市湾坞镇上洋村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主要产品名称</w:t>
            </w:r>
          </w:p>
        </w:tc>
        <w:tc>
          <w:tcPr>
            <w:tcW w:w="7377" w:type="dxa"/>
            <w:gridSpan w:val="5"/>
            <w:noWrap w:val="0"/>
            <w:vAlign w:val="center"/>
          </w:tcPr>
          <w:p>
            <w:pPr>
              <w:spacing w:after="0" w:afterLine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路基垫层；机制砂；钢渣细粉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设计生产能力</w:t>
            </w:r>
          </w:p>
        </w:tc>
        <w:tc>
          <w:tcPr>
            <w:tcW w:w="7377" w:type="dxa"/>
            <w:gridSpan w:val="5"/>
            <w:noWrap w:val="0"/>
            <w:vAlign w:val="center"/>
          </w:tcPr>
          <w:p>
            <w:pPr>
              <w:spacing w:after="0" w:afterLines="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处理钢渣60</w:t>
            </w:r>
            <w:r>
              <w:rPr>
                <w:rFonts w:hint="eastAsia" w:ascii="Times New Roman" w:hAnsi="Times New Roman" w:cs="Times New Roman"/>
                <w:color w:val="auto"/>
                <w:sz w:val="24"/>
                <w:szCs w:val="24"/>
                <w:highlight w:val="none"/>
                <w:lang w:val="en-US" w:eastAsia="zh-CN"/>
              </w:rPr>
              <w:t>万t/a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实际生产能力</w:t>
            </w:r>
          </w:p>
        </w:tc>
        <w:tc>
          <w:tcPr>
            <w:tcW w:w="7377" w:type="dxa"/>
            <w:gridSpan w:val="5"/>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处理钢渣60</w:t>
            </w:r>
            <w:r>
              <w:rPr>
                <w:rFonts w:hint="eastAsia" w:ascii="Times New Roman" w:hAnsi="Times New Roman" w:cs="Times New Roman"/>
                <w:color w:val="auto"/>
                <w:sz w:val="24"/>
                <w:szCs w:val="24"/>
                <w:highlight w:val="none"/>
                <w:lang w:val="en-US" w:eastAsia="zh-CN"/>
              </w:rPr>
              <w:t>万t/a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建设项目环评时间</w:t>
            </w:r>
          </w:p>
        </w:tc>
        <w:tc>
          <w:tcPr>
            <w:tcW w:w="2283" w:type="dxa"/>
            <w:noWrap w:val="0"/>
            <w:vAlign w:val="center"/>
          </w:tcPr>
          <w:p>
            <w:pPr>
              <w:spacing w:after="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14日</w:t>
            </w:r>
          </w:p>
        </w:tc>
        <w:tc>
          <w:tcPr>
            <w:tcW w:w="1487"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开工建设时间</w:t>
            </w:r>
          </w:p>
        </w:tc>
        <w:tc>
          <w:tcPr>
            <w:tcW w:w="3607" w:type="dxa"/>
            <w:gridSpan w:val="3"/>
            <w:noWrap w:val="0"/>
            <w:vAlign w:val="center"/>
          </w:tcPr>
          <w:p>
            <w:pPr>
              <w:spacing w:after="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6日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2283" w:type="dxa"/>
            <w:noWrap w:val="0"/>
            <w:vAlign w:val="center"/>
          </w:tcPr>
          <w:p>
            <w:pPr>
              <w:spacing w:after="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25</w:t>
            </w:r>
            <w:r>
              <w:rPr>
                <w:rFonts w:hint="eastAsia" w:ascii="Times New Roman" w:hAnsi="Times New Roman" w:cs="Times New Roman"/>
                <w:color w:val="auto"/>
                <w:sz w:val="24"/>
                <w:szCs w:val="24"/>
                <w:highlight w:val="none"/>
                <w:lang w:val="en-US" w:eastAsia="zh-CN"/>
              </w:rPr>
              <w:t>日</w:t>
            </w:r>
          </w:p>
        </w:tc>
        <w:tc>
          <w:tcPr>
            <w:tcW w:w="1487"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w:t>
            </w:r>
          </w:p>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监测时间</w:t>
            </w:r>
          </w:p>
        </w:tc>
        <w:tc>
          <w:tcPr>
            <w:tcW w:w="3607" w:type="dxa"/>
            <w:gridSpan w:val="3"/>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16</w:t>
            </w:r>
            <w:r>
              <w:rPr>
                <w:rFonts w:hint="eastAsia" w:ascii="Times New Roman" w:hAnsi="Times New Roman" w:cs="Times New Roman"/>
                <w:color w:val="auto"/>
                <w:sz w:val="24"/>
                <w:szCs w:val="24"/>
                <w:highlight w:val="none"/>
                <w:lang w:val="en-US" w:eastAsia="zh-CN"/>
              </w:rPr>
              <w:t>日~</w:t>
            </w:r>
            <w:r>
              <w:rPr>
                <w:rFonts w:hint="eastAsia" w:cs="Times New Roman"/>
                <w:color w:val="auto"/>
                <w:sz w:val="24"/>
                <w:szCs w:val="24"/>
                <w:highlight w:val="none"/>
                <w:lang w:val="en-US" w:eastAsia="zh-CN"/>
              </w:rPr>
              <w:t>17</w:t>
            </w:r>
            <w:r>
              <w:rPr>
                <w:rFonts w:hint="eastAsia" w:ascii="Times New Roman" w:hAnsi="Times New Roman" w:cs="Times New Roman"/>
                <w:color w:val="auto"/>
                <w:sz w:val="24"/>
                <w:szCs w:val="24"/>
                <w:highlight w:val="none"/>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w:t>
            </w:r>
          </w:p>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审批部门</w:t>
            </w:r>
          </w:p>
        </w:tc>
        <w:tc>
          <w:tcPr>
            <w:tcW w:w="2283"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宁德</w:t>
            </w:r>
            <w:r>
              <w:rPr>
                <w:rFonts w:hint="default" w:ascii="Times New Roman" w:hAnsi="Times New Roman" w:cs="Times New Roman"/>
                <w:color w:val="auto"/>
                <w:sz w:val="24"/>
                <w:szCs w:val="24"/>
                <w:highlight w:val="none"/>
                <w:lang w:eastAsia="zh-CN"/>
              </w:rPr>
              <w:t>市生态</w:t>
            </w:r>
            <w:r>
              <w:rPr>
                <w:rFonts w:hint="default" w:ascii="Times New Roman" w:hAnsi="Times New Roman" w:eastAsia="宋体" w:cs="Times New Roman"/>
                <w:color w:val="auto"/>
                <w:sz w:val="24"/>
                <w:szCs w:val="24"/>
                <w:highlight w:val="none"/>
              </w:rPr>
              <w:t>环境局</w:t>
            </w:r>
          </w:p>
        </w:tc>
        <w:tc>
          <w:tcPr>
            <w:tcW w:w="1487"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w:t>
            </w:r>
          </w:p>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编制单位</w:t>
            </w:r>
          </w:p>
        </w:tc>
        <w:tc>
          <w:tcPr>
            <w:tcW w:w="3607" w:type="dxa"/>
            <w:gridSpan w:val="3"/>
            <w:noWrap w:val="0"/>
            <w:vAlign w:val="center"/>
          </w:tcPr>
          <w:p>
            <w:pPr>
              <w:spacing w:after="0" w:afterLine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福建省冶金工业设计院有限公司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w:t>
            </w:r>
          </w:p>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设计单位</w:t>
            </w:r>
          </w:p>
        </w:tc>
        <w:tc>
          <w:tcPr>
            <w:tcW w:w="2283" w:type="dxa"/>
            <w:noWrap w:val="0"/>
            <w:vAlign w:val="center"/>
          </w:tcPr>
          <w:p>
            <w:pPr>
              <w:spacing w:after="0" w:afterLines="0"/>
              <w:jc w:val="both"/>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福安市青拓环保建材有限公司</w:t>
            </w:r>
          </w:p>
        </w:tc>
        <w:tc>
          <w:tcPr>
            <w:tcW w:w="1487"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w:t>
            </w:r>
          </w:p>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施工单位</w:t>
            </w:r>
          </w:p>
        </w:tc>
        <w:tc>
          <w:tcPr>
            <w:tcW w:w="3607" w:type="dxa"/>
            <w:gridSpan w:val="3"/>
            <w:noWrap w:val="0"/>
            <w:vAlign w:val="center"/>
          </w:tcPr>
          <w:p>
            <w:pPr>
              <w:spacing w:after="0" w:afterLines="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福安市青拓环保建材有限公司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投资总概算</w:t>
            </w:r>
          </w:p>
        </w:tc>
        <w:tc>
          <w:tcPr>
            <w:tcW w:w="2283"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highlight w:val="none"/>
                <w:lang w:val="en-US" w:eastAsia="zh-CN"/>
              </w:rPr>
              <w:t>200</w:t>
            </w:r>
            <w:r>
              <w:rPr>
                <w:rFonts w:hint="default" w:ascii="Times New Roman" w:hAnsi="Times New Roman" w:cs="Times New Roman"/>
                <w:color w:val="auto"/>
                <w:sz w:val="24"/>
                <w:szCs w:val="24"/>
                <w:highlight w:val="none"/>
                <w:lang w:eastAsia="zh-CN"/>
              </w:rPr>
              <w:t>万元</w:t>
            </w:r>
          </w:p>
        </w:tc>
        <w:tc>
          <w:tcPr>
            <w:tcW w:w="1487"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w:t>
            </w:r>
          </w:p>
        </w:tc>
        <w:tc>
          <w:tcPr>
            <w:tcW w:w="1386" w:type="dxa"/>
            <w:noWrap w:val="0"/>
            <w:vAlign w:val="center"/>
          </w:tcPr>
          <w:p>
            <w:pPr>
              <w:spacing w:after="0" w:afterLine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highlight w:val="none"/>
                <w:lang w:val="en-US" w:eastAsia="zh-CN"/>
              </w:rPr>
              <w:t>15</w:t>
            </w:r>
            <w:r>
              <w:rPr>
                <w:rFonts w:hint="default" w:ascii="Times New Roman" w:hAnsi="Times New Roman" w:cs="Times New Roman"/>
                <w:color w:val="auto"/>
                <w:sz w:val="24"/>
                <w:szCs w:val="24"/>
                <w:highlight w:val="none"/>
                <w:lang w:eastAsia="zh-CN"/>
              </w:rPr>
              <w:t>万元</w:t>
            </w:r>
          </w:p>
        </w:tc>
        <w:tc>
          <w:tcPr>
            <w:tcW w:w="912"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1309"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eastAsia" w:cs="Times New Roman"/>
                <w:color w:val="auto"/>
                <w:sz w:val="24"/>
                <w:highlight w:val="none"/>
                <w:lang w:val="en-US" w:eastAsia="zh-CN"/>
              </w:rPr>
              <w:t>7.5</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11"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实际总概算</w:t>
            </w:r>
          </w:p>
        </w:tc>
        <w:tc>
          <w:tcPr>
            <w:tcW w:w="2283"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highlight w:val="none"/>
                <w:lang w:val="en-US" w:eastAsia="zh-CN"/>
              </w:rPr>
              <w:t>200</w:t>
            </w:r>
            <w:r>
              <w:rPr>
                <w:rFonts w:hint="default" w:ascii="Times New Roman" w:hAnsi="Times New Roman" w:cs="Times New Roman"/>
                <w:color w:val="auto"/>
                <w:sz w:val="24"/>
                <w:szCs w:val="24"/>
                <w:highlight w:val="none"/>
                <w:lang w:eastAsia="zh-CN"/>
              </w:rPr>
              <w:t>万元</w:t>
            </w:r>
          </w:p>
        </w:tc>
        <w:tc>
          <w:tcPr>
            <w:tcW w:w="1487"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1386"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highlight w:val="none"/>
                <w:lang w:val="en-US" w:eastAsia="zh-CN"/>
              </w:rPr>
              <w:t>15</w:t>
            </w:r>
            <w:r>
              <w:rPr>
                <w:rFonts w:hint="default" w:ascii="Times New Roman" w:hAnsi="Times New Roman" w:cs="Times New Roman"/>
                <w:color w:val="auto"/>
                <w:sz w:val="24"/>
                <w:szCs w:val="24"/>
                <w:highlight w:val="none"/>
                <w:lang w:eastAsia="zh-CN"/>
              </w:rPr>
              <w:t>万元</w:t>
            </w:r>
          </w:p>
        </w:tc>
        <w:tc>
          <w:tcPr>
            <w:tcW w:w="912"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1309" w:type="dxa"/>
            <w:noWrap w:val="0"/>
            <w:vAlign w:val="center"/>
          </w:tcPr>
          <w:p>
            <w:pPr>
              <w:spacing w:after="0" w:afterLines="0"/>
              <w:jc w:val="center"/>
              <w:rPr>
                <w:rFonts w:hint="default" w:ascii="Times New Roman" w:hAnsi="Times New Roman" w:eastAsia="宋体" w:cs="Times New Roman"/>
                <w:color w:val="auto"/>
                <w:sz w:val="24"/>
                <w:szCs w:val="24"/>
                <w:highlight w:val="none"/>
              </w:rPr>
            </w:pPr>
            <w:r>
              <w:rPr>
                <w:rFonts w:hint="eastAsia" w:cs="Times New Roman"/>
                <w:color w:val="auto"/>
                <w:sz w:val="24"/>
                <w:highlight w:val="none"/>
                <w:lang w:val="en-US" w:eastAsia="zh-CN"/>
              </w:rPr>
              <w:t>7.5</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8" w:type="dxa"/>
            <w:gridSpan w:val="6"/>
            <w:noWrap w:val="0"/>
            <w:vAlign w:val="center"/>
          </w:tcPr>
          <w:p>
            <w:pPr>
              <w:pStyle w:val="6"/>
              <w:keepNext/>
              <w:keepLines w:val="0"/>
              <w:pageBreakBefore w:val="0"/>
              <w:widowControl w:val="0"/>
              <w:kinsoku/>
              <w:wordWrap/>
              <w:overflowPunct/>
              <w:topLinePunct w:val="0"/>
              <w:autoSpaceDE/>
              <w:autoSpaceDN/>
              <w:bidi w:val="0"/>
              <w:adjustRightInd/>
              <w:snapToGrid/>
              <w:spacing w:before="65" w:beforeLines="20" w:after="160" w:afterLines="50" w:line="240" w:lineRule="auto"/>
              <w:textAlignment w:val="auto"/>
              <w:rPr>
                <w:rFonts w:hint="default" w:ascii="Times New Roman" w:hAnsi="Times New Roman" w:eastAsia="宋体" w:cs="Times New Roman"/>
                <w:color w:val="auto"/>
                <w:highlight w:val="none"/>
                <w:lang w:eastAsia="zh-CN"/>
              </w:rPr>
            </w:pPr>
            <w:bookmarkStart w:id="3" w:name="_Toc13054"/>
            <w:bookmarkStart w:id="4" w:name="_Toc1886"/>
            <w:bookmarkStart w:id="5" w:name="_Toc6630"/>
            <w:r>
              <w:rPr>
                <w:rFonts w:hint="default" w:ascii="Times New Roman" w:hAnsi="Times New Roman" w:eastAsia="宋体" w:cs="Times New Roman"/>
                <w:b/>
                <w:bCs/>
                <w:color w:val="auto"/>
                <w:highlight w:val="none"/>
                <w:lang w:eastAsia="zh-CN"/>
              </w:rPr>
              <w:t>前言</w:t>
            </w:r>
            <w:bookmarkEnd w:id="3"/>
            <w:bookmarkEnd w:id="4"/>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福安市青拓环保建材有限公司（以下简称：青拓环保建材公司）位于福建省宁德市福安市湾坞镇上洋村，是青拓集团的子公司，属于青拓集团的配套企业之一。青拓环保建材公司现有2条矿渣微粉生产线，以青拓集团不锈钢生产过程中产生的冶炼废渣（包括钢铁水淬炉渣、球磨渣、铁合金水淬炉渣等）为原料，处理冶炼废渣300万t/a，生产矿渣微粉300万t/a。现有工程分别于2019年3月27日、2021年1月29日完成验收。</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为提升钢渣处理能力，青拓环保建材公司立项“钢渣综合利用技改项目”，于2023年11月29日通过福安市工业和信息化局备案（闽工信备〔2023〕J020047号）。</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2023年12月14日，青拓环保建材公司委托编制了《福安市青拓环保建材有限公司钢渣综合利用技改项目环境影响报告表》并获宁德市生态环境局批复（宁安环评〔2023〕35号）。环评时项目处理</w:t>
            </w:r>
            <w:r>
              <w:rPr>
                <w:rFonts w:hint="eastAsia" w:cs="Times New Roman"/>
                <w:color w:val="auto"/>
                <w:sz w:val="24"/>
                <w:highlight w:val="none"/>
                <w:lang w:val="en-US" w:eastAsia="zh-CN"/>
              </w:rPr>
              <w:t>的</w:t>
            </w:r>
            <w:r>
              <w:rPr>
                <w:rFonts w:hint="eastAsia" w:ascii="Times New Roman" w:hAnsi="Times New Roman" w:cs="Times New Roman"/>
                <w:color w:val="auto"/>
                <w:sz w:val="24"/>
                <w:highlight w:val="none"/>
                <w:lang w:val="en-US" w:eastAsia="zh-CN"/>
              </w:rPr>
              <w:t>钢渣</w:t>
            </w:r>
            <w:r>
              <w:rPr>
                <w:rFonts w:hint="eastAsia" w:cs="Times New Roman"/>
                <w:color w:val="auto"/>
                <w:sz w:val="24"/>
                <w:highlight w:val="none"/>
                <w:lang w:val="en-US" w:eastAsia="zh-CN"/>
              </w:rPr>
              <w:t>主要为青拓集团上游炼钢企业的</w:t>
            </w:r>
            <w:r>
              <w:rPr>
                <w:rFonts w:hint="eastAsia" w:ascii="Times New Roman" w:hAnsi="Times New Roman" w:cs="Times New Roman"/>
                <w:color w:val="auto"/>
                <w:sz w:val="24"/>
                <w:highlight w:val="none"/>
                <w:lang w:val="en-US" w:eastAsia="zh-CN"/>
              </w:rPr>
              <w:t>精炼渣湿法球磨磁选出铁精矿后的钢渣</w:t>
            </w:r>
            <w:r>
              <w:rPr>
                <w:rFonts w:hint="eastAsia" w:cs="Times New Roman"/>
                <w:color w:val="auto"/>
                <w:sz w:val="24"/>
                <w:highlight w:val="none"/>
                <w:lang w:val="en-US" w:eastAsia="zh-CN"/>
              </w:rPr>
              <w:t>，处理钢渣规模为</w:t>
            </w:r>
            <w:r>
              <w:rPr>
                <w:rFonts w:hint="eastAsia" w:ascii="Times New Roman" w:hAnsi="Times New Roman" w:cs="Times New Roman"/>
                <w:color w:val="auto"/>
                <w:sz w:val="24"/>
                <w:highlight w:val="none"/>
                <w:lang w:val="en-US" w:eastAsia="zh-CN"/>
              </w:rPr>
              <w:t>60万t/a，生产路基垫层55万t/a、钢渣细粉5万t/a。</w:t>
            </w:r>
          </w:p>
          <w:p>
            <w:pPr>
              <w:pStyle w:val="11"/>
              <w:adjustRightInd w:val="0"/>
              <w:snapToGrid w:val="0"/>
              <w:spacing w:line="360" w:lineRule="auto"/>
              <w:ind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202</w:t>
            </w:r>
            <w:r>
              <w:rPr>
                <w:rFonts w:hint="eastAsia" w:cs="Times New Roman"/>
                <w:color w:val="auto"/>
                <w:sz w:val="24"/>
                <w:highlight w:val="none"/>
                <w:lang w:val="en-US" w:eastAsia="zh-CN"/>
              </w:rPr>
              <w:t>3</w:t>
            </w:r>
            <w:r>
              <w:rPr>
                <w:rFonts w:hint="eastAsia" w:ascii="Times New Roman" w:hAnsi="Times New Roman" w:cs="Times New Roman"/>
                <w:color w:val="auto"/>
                <w:sz w:val="24"/>
                <w:highlight w:val="none"/>
                <w:lang w:eastAsia="zh-CN"/>
              </w:rPr>
              <w:t>年</w:t>
            </w:r>
            <w:r>
              <w:rPr>
                <w:rFonts w:hint="eastAsia" w:cs="Times New Roman"/>
                <w:color w:val="auto"/>
                <w:sz w:val="24"/>
                <w:highlight w:val="none"/>
                <w:lang w:val="en-US" w:eastAsia="zh-CN"/>
              </w:rPr>
              <w:t>12</w:t>
            </w:r>
            <w:r>
              <w:rPr>
                <w:rFonts w:hint="eastAsia" w:ascii="Times New Roman" w:hAnsi="Times New Roman" w:cs="Times New Roman"/>
                <w:color w:val="auto"/>
                <w:sz w:val="24"/>
                <w:highlight w:val="none"/>
                <w:lang w:eastAsia="zh-CN"/>
              </w:rPr>
              <w:t>月</w:t>
            </w:r>
            <w:r>
              <w:rPr>
                <w:rFonts w:hint="eastAsia" w:cs="Times New Roman"/>
                <w:color w:val="auto"/>
                <w:sz w:val="24"/>
                <w:highlight w:val="none"/>
                <w:lang w:val="en-US" w:eastAsia="zh-CN"/>
              </w:rPr>
              <w:t>16</w:t>
            </w:r>
            <w:r>
              <w:rPr>
                <w:rFonts w:hint="eastAsia" w:ascii="Times New Roman" w:hAnsi="Times New Roman" w:cs="Times New Roman"/>
                <w:color w:val="auto"/>
                <w:sz w:val="24"/>
                <w:highlight w:val="none"/>
                <w:lang w:val="en-US" w:eastAsia="zh-CN"/>
              </w:rPr>
              <w:t>日</w:t>
            </w:r>
            <w:r>
              <w:rPr>
                <w:rFonts w:hint="eastAsia" w:ascii="Times New Roman" w:hAnsi="Times New Roman" w:cs="Times New Roman"/>
                <w:color w:val="auto"/>
                <w:sz w:val="24"/>
                <w:highlight w:val="none"/>
                <w:lang w:eastAsia="zh-CN"/>
              </w:rPr>
              <w:t>，钢渣综合利用技改项目开工建设。</w:t>
            </w:r>
          </w:p>
          <w:p>
            <w:pPr>
              <w:pStyle w:val="11"/>
              <w:adjustRightInd w:val="0"/>
              <w:snapToGrid w:val="0"/>
              <w:spacing w:line="360" w:lineRule="auto"/>
              <w:ind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202</w:t>
            </w:r>
            <w:r>
              <w:rPr>
                <w:rFonts w:hint="eastAsia" w:ascii="Times New Roman" w:hAnsi="Times New Roman" w:cs="Times New Roman"/>
                <w:color w:val="auto"/>
                <w:sz w:val="24"/>
                <w:highlight w:val="none"/>
                <w:lang w:val="en-US" w:eastAsia="zh-CN"/>
              </w:rPr>
              <w:t>5</w:t>
            </w:r>
            <w:r>
              <w:rPr>
                <w:rFonts w:hint="eastAsia" w:ascii="Times New Roman" w:hAnsi="Times New Roman" w:cs="Times New Roman"/>
                <w:color w:val="auto"/>
                <w:sz w:val="24"/>
                <w:highlight w:val="none"/>
                <w:lang w:eastAsia="zh-CN"/>
              </w:rPr>
              <w:t>年</w:t>
            </w:r>
            <w:r>
              <w:rPr>
                <w:rFonts w:hint="eastAsia" w:ascii="Times New Roman" w:hAnsi="Times New Roman" w:cs="Times New Roman"/>
                <w:color w:val="auto"/>
                <w:sz w:val="24"/>
                <w:highlight w:val="none"/>
                <w:lang w:val="en-US" w:eastAsia="zh-CN"/>
              </w:rPr>
              <w:t>5</w:t>
            </w:r>
            <w:r>
              <w:rPr>
                <w:rFonts w:hint="eastAsia" w:ascii="Times New Roman" w:hAnsi="Times New Roman" w:cs="Times New Roman"/>
                <w:color w:val="auto"/>
                <w:sz w:val="24"/>
                <w:highlight w:val="none"/>
                <w:lang w:eastAsia="zh-CN"/>
              </w:rPr>
              <w:t>月</w:t>
            </w:r>
            <w:r>
              <w:rPr>
                <w:rFonts w:hint="eastAsia" w:cs="Times New Roman"/>
                <w:color w:val="auto"/>
                <w:sz w:val="24"/>
                <w:highlight w:val="none"/>
                <w:lang w:val="en-US" w:eastAsia="zh-CN"/>
              </w:rPr>
              <w:t>6</w:t>
            </w:r>
            <w:r>
              <w:rPr>
                <w:rFonts w:hint="eastAsia" w:ascii="Times New Roman" w:hAnsi="Times New Roman" w:cs="Times New Roman"/>
                <w:color w:val="auto"/>
                <w:sz w:val="24"/>
                <w:highlight w:val="none"/>
                <w:lang w:eastAsia="zh-CN"/>
              </w:rPr>
              <w:t>日，福安市青拓环保建材有限公司委托福建省冶金工业设计院有限公司开展“钢渣综合利用技改项目”竣工环境保护验收监测及环保设施调查工作。</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highlight w:val="none"/>
                <w:lang w:val="en-US" w:eastAsia="zh-CN"/>
              </w:rPr>
            </w:pPr>
            <w:r>
              <w:rPr>
                <w:rFonts w:hint="eastAsia" w:ascii="Times New Roman" w:hAnsi="Times New Roman" w:cs="Times New Roman"/>
                <w:color w:val="auto"/>
                <w:sz w:val="24"/>
                <w:highlight w:val="none"/>
                <w:lang w:eastAsia="zh-CN"/>
              </w:rPr>
              <w:t>2025年</w:t>
            </w:r>
            <w:r>
              <w:rPr>
                <w:rFonts w:hint="eastAsia" w:cs="Times New Roman"/>
                <w:color w:val="auto"/>
                <w:sz w:val="24"/>
                <w:highlight w:val="none"/>
                <w:lang w:val="en-US" w:eastAsia="zh-CN"/>
              </w:rPr>
              <w:t>6</w:t>
            </w:r>
            <w:r>
              <w:rPr>
                <w:rFonts w:hint="eastAsia" w:ascii="Times New Roman" w:hAnsi="Times New Roman" w:cs="Times New Roman"/>
                <w:color w:val="auto"/>
                <w:sz w:val="24"/>
                <w:highlight w:val="none"/>
                <w:lang w:eastAsia="zh-CN"/>
              </w:rPr>
              <w:t>月</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7</w:t>
            </w:r>
            <w:r>
              <w:rPr>
                <w:rFonts w:hint="eastAsia" w:ascii="Times New Roman" w:hAnsi="Times New Roman" w:cs="Times New Roman"/>
                <w:color w:val="auto"/>
                <w:sz w:val="24"/>
                <w:highlight w:val="none"/>
                <w:lang w:eastAsia="zh-CN"/>
              </w:rPr>
              <w:t>日，钢渣综合利用技改项目主体工程及附属环保设施建设完成</w:t>
            </w:r>
            <w:r>
              <w:rPr>
                <w:rFonts w:hint="eastAsia" w:cs="Times New Roman"/>
                <w:color w:val="auto"/>
                <w:sz w:val="24"/>
                <w:highlight w:val="none"/>
                <w:lang w:eastAsia="zh-CN"/>
              </w:rPr>
              <w:t>。</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因</w:t>
            </w:r>
            <w:r>
              <w:rPr>
                <w:rFonts w:hint="eastAsia" w:ascii="Times New Roman" w:hAnsi="Times New Roman" w:cs="Times New Roman"/>
                <w:color w:val="auto"/>
                <w:sz w:val="24"/>
                <w:highlight w:val="none"/>
                <w:lang w:val="en-US" w:eastAsia="zh-CN"/>
              </w:rPr>
              <w:t>青拓集团</w:t>
            </w:r>
            <w:r>
              <w:rPr>
                <w:rFonts w:hint="eastAsia" w:cs="Times New Roman"/>
                <w:color w:val="auto"/>
                <w:sz w:val="24"/>
                <w:highlight w:val="none"/>
                <w:lang w:val="en-US" w:eastAsia="zh-CN"/>
              </w:rPr>
              <w:t>上游炼钢企业进行超低排放改造，</w:t>
            </w:r>
            <w:r>
              <w:rPr>
                <w:rFonts w:hint="eastAsia" w:ascii="Times New Roman" w:hAnsi="Times New Roman" w:cs="Times New Roman"/>
                <w:color w:val="auto"/>
                <w:sz w:val="24"/>
                <w:highlight w:val="none"/>
                <w:lang w:val="en-US" w:eastAsia="zh-CN"/>
              </w:rPr>
              <w:t>青拓集团</w:t>
            </w:r>
            <w:r>
              <w:rPr>
                <w:rFonts w:hint="eastAsia" w:cs="Times New Roman"/>
                <w:color w:val="auto"/>
                <w:sz w:val="24"/>
                <w:highlight w:val="none"/>
                <w:lang w:val="en-US" w:eastAsia="zh-CN"/>
              </w:rPr>
              <w:t>上游炼钢企业的</w:t>
            </w:r>
            <w:r>
              <w:rPr>
                <w:rFonts w:hint="eastAsia" w:ascii="Times New Roman" w:hAnsi="Times New Roman" w:cs="Times New Roman"/>
                <w:color w:val="auto"/>
                <w:sz w:val="24"/>
                <w:highlight w:val="none"/>
                <w:lang w:val="en-US" w:eastAsia="zh-CN"/>
              </w:rPr>
              <w:t>钢渣由湿法球磨工艺变为水淬工艺，并且钢渣未贮存直接运至</w:t>
            </w:r>
            <w:r>
              <w:rPr>
                <w:rFonts w:hint="eastAsia"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进行处理，</w:t>
            </w:r>
            <w:r>
              <w:rPr>
                <w:rFonts w:hint="eastAsia" w:cs="Times New Roman"/>
                <w:color w:val="auto"/>
                <w:sz w:val="24"/>
                <w:highlight w:val="none"/>
                <w:lang w:val="en-US" w:eastAsia="zh-CN"/>
              </w:rPr>
              <w:t>导致本</w:t>
            </w:r>
            <w:r>
              <w:rPr>
                <w:rFonts w:hint="eastAsia" w:ascii="Times New Roman" w:hAnsi="Times New Roman" w:cs="Times New Roman"/>
                <w:color w:val="auto"/>
                <w:sz w:val="24"/>
                <w:highlight w:val="none"/>
                <w:lang w:val="en-US" w:eastAsia="zh-CN"/>
              </w:rPr>
              <w:t>项目</w:t>
            </w:r>
            <w:r>
              <w:rPr>
                <w:rFonts w:hint="eastAsia" w:cs="Times New Roman"/>
                <w:color w:val="auto"/>
                <w:sz w:val="24"/>
                <w:highlight w:val="none"/>
                <w:lang w:val="en-US" w:eastAsia="zh-CN"/>
              </w:rPr>
              <w:t>钢渣原料</w:t>
            </w:r>
            <w:r>
              <w:rPr>
                <w:rFonts w:hint="eastAsia" w:ascii="Times New Roman" w:hAnsi="Times New Roman" w:cs="Times New Roman"/>
                <w:color w:val="auto"/>
                <w:sz w:val="24"/>
                <w:highlight w:val="none"/>
                <w:lang w:val="en-US" w:eastAsia="zh-CN"/>
              </w:rPr>
              <w:t>含水率增加</w:t>
            </w:r>
            <w:r>
              <w:rPr>
                <w:rFonts w:hint="eastAsia" w:cs="Times New Roman"/>
                <w:color w:val="auto"/>
                <w:sz w:val="24"/>
                <w:highlight w:val="none"/>
                <w:lang w:val="en-US" w:eastAsia="zh-CN"/>
              </w:rPr>
              <w:t>，引发本项目建设方案变动。</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val="en-US" w:eastAsia="zh-CN"/>
              </w:rPr>
              <w:t>2025年8月15日，青拓环保建材公司委托编制了《福安市青拓环保建材有限公司钢渣综合利用技改项目变动环境影响补充说明》，通过了专家评审</w:t>
            </w:r>
            <w:r>
              <w:rPr>
                <w:rFonts w:hint="eastAsia" w:cs="Times New Roman"/>
                <w:color w:val="auto"/>
                <w:sz w:val="24"/>
                <w:highlight w:val="none"/>
                <w:lang w:val="en-US" w:eastAsia="zh-CN"/>
              </w:rPr>
              <w:t>（附件3）</w:t>
            </w:r>
            <w:r>
              <w:rPr>
                <w:rFonts w:hint="eastAsia" w:ascii="Times New Roman" w:hAnsi="Times New Roman" w:cs="Times New Roman"/>
                <w:color w:val="auto"/>
                <w:sz w:val="24"/>
                <w:highlight w:val="none"/>
                <w:lang w:val="en-US" w:eastAsia="zh-CN"/>
              </w:rPr>
              <w:t>。项目变动后处理</w:t>
            </w:r>
            <w:r>
              <w:rPr>
                <w:rFonts w:hint="eastAsia" w:cs="Times New Roman"/>
                <w:color w:val="auto"/>
                <w:sz w:val="24"/>
                <w:highlight w:val="none"/>
                <w:lang w:val="en-US" w:eastAsia="zh-CN"/>
              </w:rPr>
              <w:t>的</w:t>
            </w:r>
            <w:r>
              <w:rPr>
                <w:rFonts w:hint="eastAsia" w:ascii="Times New Roman" w:hAnsi="Times New Roman" w:cs="Times New Roman"/>
                <w:color w:val="auto"/>
                <w:sz w:val="24"/>
                <w:highlight w:val="none"/>
                <w:lang w:val="en-US" w:eastAsia="zh-CN"/>
              </w:rPr>
              <w:t>钢渣为</w:t>
            </w:r>
            <w:r>
              <w:rPr>
                <w:rFonts w:hint="eastAsia" w:cs="Times New Roman"/>
                <w:color w:val="auto"/>
                <w:sz w:val="24"/>
                <w:highlight w:val="none"/>
                <w:lang w:val="en-US" w:eastAsia="zh-CN"/>
              </w:rPr>
              <w:t>青拓集团上游炼钢企业的</w:t>
            </w:r>
            <w:r>
              <w:rPr>
                <w:rFonts w:hint="eastAsia" w:ascii="Times New Roman" w:hAnsi="Times New Roman" w:cs="Times New Roman"/>
                <w:color w:val="auto"/>
                <w:sz w:val="24"/>
                <w:highlight w:val="none"/>
                <w:lang w:val="en-US" w:eastAsia="zh-CN"/>
              </w:rPr>
              <w:t>水淬精炼渣、水淬镍铁渣，</w:t>
            </w:r>
            <w:r>
              <w:rPr>
                <w:rFonts w:hint="eastAsia" w:cs="Times New Roman"/>
                <w:color w:val="auto"/>
                <w:sz w:val="24"/>
                <w:highlight w:val="none"/>
                <w:lang w:val="en-US" w:eastAsia="zh-CN"/>
              </w:rPr>
              <w:t>处理钢渣规模保持</w:t>
            </w:r>
            <w:r>
              <w:rPr>
                <w:rFonts w:hint="eastAsia" w:ascii="Times New Roman" w:hAnsi="Times New Roman" w:cs="Times New Roman"/>
                <w:color w:val="auto"/>
                <w:sz w:val="24"/>
                <w:highlight w:val="none"/>
                <w:lang w:val="en-US" w:eastAsia="zh-CN"/>
              </w:rPr>
              <w:t>60万t/a不变，生产路基垫层25万t/a、机制砂30万t/a和钢渣细粉5万t/a。</w:t>
            </w:r>
          </w:p>
          <w:p>
            <w:pPr>
              <w:pStyle w:val="11"/>
              <w:adjustRightInd w:val="0"/>
              <w:snapToGrid w:val="0"/>
              <w:spacing w:line="360" w:lineRule="auto"/>
              <w:ind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2025年</w:t>
            </w:r>
            <w:r>
              <w:rPr>
                <w:rFonts w:hint="eastAsia" w:cs="Times New Roman"/>
                <w:color w:val="auto"/>
                <w:sz w:val="24"/>
                <w:highlight w:val="none"/>
                <w:lang w:val="en-US" w:eastAsia="zh-CN"/>
              </w:rPr>
              <w:t>9</w:t>
            </w:r>
            <w:r>
              <w:rPr>
                <w:rFonts w:hint="eastAsia" w:ascii="Times New Roman" w:hAnsi="Times New Roman" w:cs="Times New Roman"/>
                <w:color w:val="auto"/>
                <w:sz w:val="24"/>
                <w:highlight w:val="none"/>
                <w:lang w:eastAsia="zh-CN"/>
              </w:rPr>
              <w:t>月</w:t>
            </w:r>
            <w:r>
              <w:rPr>
                <w:rFonts w:hint="eastAsia" w:cs="Times New Roman"/>
                <w:color w:val="auto"/>
                <w:sz w:val="24"/>
                <w:highlight w:val="none"/>
                <w:lang w:val="en-US" w:eastAsia="zh-CN"/>
              </w:rPr>
              <w:t>24</w:t>
            </w:r>
            <w:r>
              <w:rPr>
                <w:rFonts w:hint="eastAsia" w:ascii="Times New Roman" w:hAnsi="Times New Roman" w:cs="Times New Roman"/>
                <w:color w:val="auto"/>
                <w:sz w:val="24"/>
                <w:highlight w:val="none"/>
                <w:lang w:eastAsia="zh-CN"/>
              </w:rPr>
              <w:t>日，</w:t>
            </w:r>
            <w:r>
              <w:rPr>
                <w:rFonts w:hint="eastAsia" w:ascii="Times New Roman" w:hAnsi="Times New Roman" w:cs="Times New Roman"/>
                <w:color w:val="auto"/>
                <w:sz w:val="24"/>
                <w:highlight w:val="none"/>
                <w:lang w:val="en-US" w:eastAsia="zh-CN"/>
              </w:rPr>
              <w:t>青拓环保建材公司</w:t>
            </w:r>
            <w:r>
              <w:rPr>
                <w:rFonts w:hint="eastAsia" w:cs="Times New Roman"/>
                <w:color w:val="auto"/>
                <w:sz w:val="24"/>
                <w:highlight w:val="none"/>
                <w:lang w:val="en-US" w:eastAsia="zh-CN"/>
              </w:rPr>
              <w:t>重新申请了</w:t>
            </w:r>
            <w:r>
              <w:rPr>
                <w:rFonts w:hint="eastAsia" w:ascii="Times New Roman" w:hAnsi="Times New Roman" w:cs="Times New Roman"/>
                <w:color w:val="auto"/>
                <w:sz w:val="24"/>
                <w:highlight w:val="none"/>
                <w:lang w:eastAsia="zh-CN"/>
              </w:rPr>
              <w:t>排污许可证，加入了</w:t>
            </w:r>
            <w:r>
              <w:rPr>
                <w:rFonts w:hint="eastAsia" w:ascii="Times New Roman" w:hAnsi="Times New Roman" w:cs="Times New Roman"/>
                <w:color w:val="auto"/>
                <w:sz w:val="24"/>
                <w:highlight w:val="none"/>
                <w:lang w:val="en-US" w:eastAsia="zh-CN"/>
              </w:rPr>
              <w:t>变动后的</w:t>
            </w:r>
            <w:r>
              <w:rPr>
                <w:rFonts w:hint="eastAsia" w:ascii="Times New Roman" w:hAnsi="Times New Roman" w:cs="Times New Roman"/>
                <w:color w:val="auto"/>
                <w:sz w:val="24"/>
                <w:highlight w:val="none"/>
                <w:lang w:eastAsia="zh-CN"/>
              </w:rPr>
              <w:t>钢渣综合利用技改项目建设内容，证书编号：91350981MA2XXNFT6H001</w:t>
            </w:r>
            <w:r>
              <w:rPr>
                <w:rFonts w:hint="eastAsia" w:ascii="Times New Roman" w:hAnsi="Times New Roman" w:cs="Times New Roman"/>
                <w:color w:val="auto"/>
                <w:sz w:val="24"/>
                <w:highlight w:val="none"/>
                <w:lang w:val="en-US" w:eastAsia="zh-CN"/>
              </w:rPr>
              <w:t>Q</w:t>
            </w:r>
            <w:r>
              <w:rPr>
                <w:rFonts w:hint="eastAsia" w:ascii="Times New Roman" w:hAnsi="Times New Roman" w:cs="Times New Roman"/>
                <w:color w:val="auto"/>
                <w:sz w:val="24"/>
                <w:highlight w:val="none"/>
                <w:lang w:eastAsia="zh-CN"/>
              </w:rPr>
              <w:t>。</w:t>
            </w:r>
          </w:p>
          <w:p>
            <w:pPr>
              <w:pStyle w:val="11"/>
              <w:adjustRightInd w:val="0"/>
              <w:snapToGrid w:val="0"/>
              <w:spacing w:line="360" w:lineRule="auto"/>
              <w:ind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2025年</w:t>
            </w:r>
            <w:r>
              <w:rPr>
                <w:rFonts w:hint="eastAsia" w:cs="Times New Roman"/>
                <w:color w:val="auto"/>
                <w:sz w:val="24"/>
                <w:highlight w:val="none"/>
                <w:lang w:val="en-US" w:eastAsia="zh-CN"/>
              </w:rPr>
              <w:t>9</w:t>
            </w:r>
            <w:r>
              <w:rPr>
                <w:rFonts w:hint="eastAsia" w:ascii="Times New Roman" w:hAnsi="Times New Roman" w:cs="Times New Roman"/>
                <w:color w:val="auto"/>
                <w:sz w:val="24"/>
                <w:highlight w:val="none"/>
                <w:lang w:eastAsia="zh-CN"/>
              </w:rPr>
              <w:t>月</w:t>
            </w:r>
            <w:r>
              <w:rPr>
                <w:rFonts w:hint="eastAsia" w:cs="Times New Roman"/>
                <w:color w:val="auto"/>
                <w:sz w:val="24"/>
                <w:highlight w:val="none"/>
                <w:lang w:val="en-US" w:eastAsia="zh-CN"/>
              </w:rPr>
              <w:t>25</w:t>
            </w:r>
            <w:r>
              <w:rPr>
                <w:rFonts w:hint="eastAsia" w:ascii="Times New Roman" w:hAnsi="Times New Roman" w:cs="Times New Roman"/>
                <w:color w:val="auto"/>
                <w:sz w:val="24"/>
                <w:highlight w:val="none"/>
                <w:lang w:eastAsia="zh-CN"/>
              </w:rPr>
              <w:t>日开始对环保设施进行调试。</w:t>
            </w:r>
          </w:p>
          <w:p>
            <w:pPr>
              <w:pStyle w:val="11"/>
              <w:adjustRightInd w:val="0"/>
              <w:snapToGrid w:val="0"/>
              <w:spacing w:line="360" w:lineRule="auto"/>
              <w:ind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在项目主体工程工况稳定、环境保护设施运行正常后，福建创投环境检测有限公司于2025年</w:t>
            </w:r>
            <w:r>
              <w:rPr>
                <w:rFonts w:hint="eastAsia" w:cs="Times New Roman"/>
                <w:color w:val="auto"/>
                <w:sz w:val="24"/>
                <w:highlight w:val="none"/>
                <w:lang w:val="en-US" w:eastAsia="zh-CN"/>
              </w:rPr>
              <w:t>10</w:t>
            </w:r>
            <w:r>
              <w:rPr>
                <w:rFonts w:hint="eastAsia" w:ascii="Times New Roman" w:hAnsi="Times New Roman" w:cs="Times New Roman"/>
                <w:color w:val="auto"/>
                <w:sz w:val="24"/>
                <w:highlight w:val="none"/>
                <w:lang w:eastAsia="zh-CN"/>
              </w:rPr>
              <w:t>月</w:t>
            </w:r>
            <w:r>
              <w:rPr>
                <w:rFonts w:hint="eastAsia" w:cs="Times New Roman"/>
                <w:color w:val="auto"/>
                <w:sz w:val="24"/>
                <w:highlight w:val="none"/>
                <w:lang w:val="en-US" w:eastAsia="zh-CN"/>
              </w:rPr>
              <w:t>16</w:t>
            </w:r>
            <w:r>
              <w:rPr>
                <w:rFonts w:hint="eastAsia" w:ascii="Times New Roman" w:hAnsi="Times New Roman" w:cs="Times New Roman"/>
                <w:color w:val="auto"/>
                <w:sz w:val="24"/>
                <w:highlight w:val="none"/>
                <w:lang w:eastAsia="zh-CN"/>
              </w:rPr>
              <w:t>日~</w:t>
            </w:r>
            <w:r>
              <w:rPr>
                <w:rFonts w:hint="eastAsia" w:cs="Times New Roman"/>
                <w:color w:val="auto"/>
                <w:sz w:val="24"/>
                <w:highlight w:val="none"/>
                <w:lang w:val="en-US" w:eastAsia="zh-CN"/>
              </w:rPr>
              <w:t>17</w:t>
            </w:r>
            <w:r>
              <w:rPr>
                <w:rFonts w:hint="eastAsia" w:ascii="Times New Roman" w:hAnsi="Times New Roman" w:cs="Times New Roman"/>
                <w:color w:val="auto"/>
                <w:sz w:val="24"/>
                <w:highlight w:val="none"/>
                <w:lang w:eastAsia="zh-CN"/>
              </w:rPr>
              <w:t>日</w:t>
            </w:r>
            <w:r>
              <w:rPr>
                <w:rFonts w:hint="eastAsia" w:cs="Times New Roman"/>
                <w:color w:val="auto"/>
                <w:sz w:val="24"/>
                <w:highlight w:val="none"/>
                <w:lang w:val="en-US" w:eastAsia="zh-CN"/>
              </w:rPr>
              <w:t>在项目</w:t>
            </w:r>
            <w:r>
              <w:rPr>
                <w:rFonts w:hint="eastAsia" w:ascii="Times New Roman" w:hAnsi="Times New Roman" w:cs="Times New Roman"/>
                <w:color w:val="auto"/>
                <w:sz w:val="24"/>
                <w:highlight w:val="none"/>
                <w:lang w:eastAsia="zh-CN"/>
              </w:rPr>
              <w:t>现场进行了采样检测。</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根据《建设项目竣工环境保护验收暂行办法》、建设单位提供的有关资料、现场验收监测数据及环保设施调查情况，</w:t>
            </w:r>
            <w:r>
              <w:rPr>
                <w:rFonts w:hint="eastAsia" w:ascii="Times New Roman" w:hAnsi="Times New Roman" w:cs="Times New Roman"/>
                <w:color w:val="auto"/>
                <w:sz w:val="24"/>
                <w:highlight w:val="none"/>
                <w:lang w:eastAsia="zh-CN"/>
              </w:rPr>
              <w:t>福建省冶金工业设计院有限公司</w:t>
            </w:r>
            <w:r>
              <w:rPr>
                <w:rFonts w:hint="default" w:ascii="Times New Roman" w:hAnsi="Times New Roman" w:cs="Times New Roman"/>
                <w:color w:val="auto"/>
                <w:sz w:val="24"/>
                <w:highlight w:val="none"/>
                <w:lang w:eastAsia="zh-CN"/>
              </w:rPr>
              <w:t>编制了《</w:t>
            </w:r>
            <w:r>
              <w:rPr>
                <w:rFonts w:hint="eastAsia" w:ascii="Times New Roman" w:hAnsi="Times New Roman" w:cs="Times New Roman"/>
                <w:color w:val="auto"/>
                <w:sz w:val="24"/>
                <w:highlight w:val="none"/>
                <w:lang w:eastAsia="zh-CN"/>
              </w:rPr>
              <w:t>福安市青拓环保建材有限公司钢渣综合利用技改项目</w:t>
            </w:r>
            <w:r>
              <w:rPr>
                <w:rFonts w:hint="default" w:ascii="Times New Roman" w:hAnsi="Times New Roman" w:cs="Times New Roman"/>
                <w:color w:val="auto"/>
                <w:sz w:val="24"/>
                <w:highlight w:val="none"/>
                <w:lang w:eastAsia="zh-CN"/>
              </w:rPr>
              <w:t>竣工环境保护验收监测报告表》。</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1"/>
              <w:rPr>
                <w:rFonts w:hint="default" w:ascii="Times New Roman" w:hAnsi="Times New Roman" w:cs="Times New Roman"/>
                <w:color w:val="auto"/>
                <w:highlight w:val="none"/>
                <w:lang w:val="en-US" w:eastAsia="zh-CN"/>
              </w:rPr>
            </w:pPr>
            <w:bookmarkStart w:id="6" w:name="_Toc26391"/>
            <w:r>
              <w:rPr>
                <w:rFonts w:hint="default" w:ascii="Times New Roman" w:hAnsi="Times New Roman" w:cs="Times New Roman"/>
                <w:color w:val="auto"/>
                <w:highlight w:val="none"/>
                <w:lang w:val="en-US" w:eastAsia="zh-CN"/>
              </w:rPr>
              <w:t>1.1验收监测依据</w:t>
            </w:r>
            <w:bookmarkEnd w:id="5"/>
            <w:bookmarkEnd w:id="6"/>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1、《中华人民共和国环境保护法》（2015年1月1日实施）；</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2、《中华人民共和国环境影响评价法》（2018年12月29日第二次修正）；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3、《建设项目环境保护管理条例》（2017年7月16日修订）；</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、《建设项目竣工环境保护验收暂行办法》（环境保护部办公厅2017年11月22日印发）；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、《建设项目竣工环境保护验收技术指南 污染影响类》（生态环境部办公厅2018年5月16日印发）；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lang w:val="en-US" w:eastAsia="zh-CN"/>
              </w:rPr>
              <w:t>6、《污染影响类建设项目重大变动清单（试行）》（环办环评函[2020]688号）；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福安市青拓环保建材有限公司钢渣综合利用技改项目</w:t>
            </w:r>
            <w:r>
              <w:rPr>
                <w:rFonts w:hint="default" w:ascii="Times New Roman" w:hAnsi="Times New Roman" w:cs="Times New Roman"/>
                <w:color w:val="auto"/>
                <w:sz w:val="24"/>
                <w:szCs w:val="24"/>
                <w:highlight w:val="none"/>
              </w:rPr>
              <w:t>环境影响报告表》</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宁德</w:t>
            </w:r>
            <w:r>
              <w:rPr>
                <w:rFonts w:hint="default" w:ascii="Times New Roman" w:hAnsi="Times New Roman" w:cs="Times New Roman"/>
                <w:color w:val="auto"/>
                <w:sz w:val="24"/>
                <w:szCs w:val="24"/>
                <w:highlight w:val="none"/>
                <w:lang w:eastAsia="zh-CN"/>
              </w:rPr>
              <w:t>市生态环境局关于</w:t>
            </w:r>
            <w:r>
              <w:rPr>
                <w:rFonts w:hint="eastAsia" w:ascii="Times New Roman" w:hAnsi="Times New Roman" w:cs="Times New Roman"/>
                <w:color w:val="auto"/>
                <w:sz w:val="24"/>
                <w:szCs w:val="24"/>
                <w:highlight w:val="none"/>
                <w:lang w:eastAsia="zh-CN"/>
              </w:rPr>
              <w:t>福安市青拓环保建材有限公司钢渣综合利用技改项目</w:t>
            </w:r>
            <w:r>
              <w:rPr>
                <w:rFonts w:hint="default" w:ascii="Times New Roman" w:hAnsi="Times New Roman" w:cs="Times New Roman"/>
                <w:color w:val="auto"/>
                <w:sz w:val="24"/>
                <w:szCs w:val="24"/>
                <w:highlight w:val="none"/>
              </w:rPr>
              <w:t>环境影响报告表</w:t>
            </w:r>
            <w:r>
              <w:rPr>
                <w:rFonts w:hint="default" w:ascii="Times New Roman" w:hAnsi="Times New Roman" w:cs="Times New Roman"/>
                <w:color w:val="auto"/>
                <w:sz w:val="24"/>
                <w:szCs w:val="24"/>
                <w:highlight w:val="none"/>
                <w:lang w:eastAsia="zh-CN"/>
              </w:rPr>
              <w:t>的批复</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highlight w:val="none"/>
                <w:lang w:val="en-US" w:eastAsia="zh-CN"/>
              </w:rPr>
              <w:t>（宁安环评〔2023〕35号）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lang w:val="en-US" w:eastAsia="zh-CN"/>
              </w:rPr>
              <w:t>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9、</w:t>
            </w:r>
            <w:r>
              <w:rPr>
                <w:rFonts w:hint="eastAsia" w:ascii="Times New Roman" w:hAnsi="Times New Roman" w:cs="Times New Roman"/>
                <w:color w:val="auto"/>
                <w:sz w:val="24"/>
                <w:highlight w:val="none"/>
                <w:lang w:val="en-US" w:eastAsia="zh-CN"/>
              </w:rPr>
              <w:t>《福安市青拓环保建材有限公司钢渣综合利用技改项目变动环境影响补充说明》；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10、</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补充说明</w:t>
            </w:r>
            <w:r>
              <w:rPr>
                <w:rFonts w:hint="eastAsia" w:cs="Times New Roman"/>
                <w:color w:val="auto"/>
                <w:sz w:val="24"/>
                <w:szCs w:val="24"/>
                <w:highlight w:val="none"/>
                <w:lang w:val="en-US" w:eastAsia="zh-CN"/>
              </w:rPr>
              <w:t>》专家评审意见</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lang w:val="en-US" w:eastAsia="zh-CN"/>
              </w:rPr>
              <w:t>、《排污许可证》（编号：</w:t>
            </w:r>
            <w:r>
              <w:rPr>
                <w:rFonts w:hint="eastAsia" w:ascii="Times New Roman" w:hAnsi="Times New Roman" w:cs="Times New Roman"/>
                <w:color w:val="auto"/>
                <w:sz w:val="24"/>
                <w:highlight w:val="none"/>
                <w:lang w:eastAsia="zh-CN"/>
              </w:rPr>
              <w:t>91350981MA2XXNFT6H001</w:t>
            </w:r>
            <w:r>
              <w:rPr>
                <w:rFonts w:hint="eastAsia" w:ascii="Times New Roman" w:hAnsi="Times New Roman" w:cs="Times New Roman"/>
                <w:color w:val="auto"/>
                <w:sz w:val="24"/>
                <w:highlight w:val="none"/>
                <w:lang w:val="en-US" w:eastAsia="zh-CN"/>
              </w:rPr>
              <w:t>Q</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、验收监测委托书</w:t>
            </w:r>
            <w:r>
              <w:rPr>
                <w:rFonts w:hint="default" w:ascii="Times New Roman" w:hAnsi="Times New Roman" w:cs="Times New Roman"/>
                <w:color w:val="auto"/>
                <w:sz w:val="24"/>
                <w:szCs w:val="24"/>
                <w:highlight w:val="none"/>
                <w:lang w:eastAsia="zh-CN"/>
              </w:rPr>
              <w:t>。</w:t>
            </w:r>
          </w:p>
          <w:p>
            <w:pPr>
              <w:pStyle w:val="6"/>
              <w:keepNext w:val="0"/>
              <w:keepLines w:val="0"/>
              <w:pageBreakBefore w:val="0"/>
              <w:widowControl w:val="0"/>
              <w:kinsoku/>
              <w:wordWrap/>
              <w:overflowPunct/>
              <w:topLinePunct w:val="0"/>
              <w:autoSpaceDE/>
              <w:autoSpaceDN/>
              <w:bidi w:val="0"/>
              <w:adjustRightInd/>
              <w:snapToGrid w:val="0"/>
              <w:spacing w:before="224" w:beforeLines="70" w:after="160" w:afterLines="50" w:line="240" w:lineRule="auto"/>
              <w:ind w:left="0" w:leftChars="0" w:right="0" w:rightChars="0"/>
              <w:textAlignment w:val="auto"/>
              <w:rPr>
                <w:rFonts w:hint="default" w:ascii="Times New Roman" w:hAnsi="Times New Roman" w:cs="Times New Roman"/>
                <w:color w:val="auto"/>
                <w:highlight w:val="none"/>
                <w:lang w:val="en-US" w:eastAsia="zh-CN"/>
              </w:rPr>
            </w:pPr>
            <w:bookmarkStart w:id="7" w:name="_Toc31651"/>
            <w:bookmarkStart w:id="8" w:name="_Toc20785"/>
            <w:r>
              <w:rPr>
                <w:rFonts w:hint="default" w:ascii="Times New Roman" w:hAnsi="Times New Roman" w:cs="Times New Roman"/>
                <w:color w:val="auto"/>
                <w:highlight w:val="none"/>
                <w:lang w:val="en-US" w:eastAsia="zh-CN"/>
              </w:rPr>
              <w:t>1.2验收监测评价标准、标号、级别、限值</w:t>
            </w:r>
            <w:bookmarkEnd w:id="7"/>
            <w:bookmarkEnd w:id="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9" w:name="_Toc10159"/>
            <w:r>
              <w:rPr>
                <w:rFonts w:hint="eastAsia" w:ascii="Times New Roman" w:hAnsi="Times New Roman" w:eastAsia="宋体" w:cs="Times New Roman"/>
                <w:color w:val="auto"/>
                <w:sz w:val="24"/>
                <w:szCs w:val="24"/>
                <w:highlight w:val="none"/>
                <w:lang w:val="en-US" w:eastAsia="zh-CN"/>
              </w:rPr>
              <w:t>验收时执行标准与环评时一致。</w:t>
            </w:r>
          </w:p>
          <w:p>
            <w:pPr>
              <w:pStyle w:val="7"/>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1.2.1污染物排放标准</w:t>
            </w:r>
          </w:p>
          <w:bookmarkEnd w:id="9"/>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根据项目环评报告表</w:t>
            </w:r>
            <w:r>
              <w:rPr>
                <w:rFonts w:hint="eastAsia" w:ascii="Times New Roman" w:hAnsi="Times New Roman" w:cs="Times New Roman"/>
                <w:color w:val="auto"/>
                <w:sz w:val="24"/>
                <w:szCs w:val="24"/>
                <w:lang w:val="en-US" w:eastAsia="zh-CN"/>
              </w:rPr>
              <w:t>及</w:t>
            </w:r>
            <w:r>
              <w:rPr>
                <w:rFonts w:hint="default" w:ascii="Times New Roman" w:hAnsi="Times New Roman" w:cs="Times New Roman"/>
                <w:color w:val="auto"/>
                <w:sz w:val="24"/>
                <w:szCs w:val="24"/>
                <w:lang w:val="en-US" w:eastAsia="zh-CN"/>
              </w:rPr>
              <w:t>批复</w:t>
            </w:r>
            <w:r>
              <w:rPr>
                <w:rFonts w:hint="eastAsia" w:ascii="Times New Roman" w:hAnsi="Times New Roman" w:cs="Times New Roman"/>
                <w:color w:val="auto"/>
                <w:sz w:val="24"/>
                <w:szCs w:val="24"/>
                <w:lang w:val="en-US" w:eastAsia="zh-CN"/>
              </w:rPr>
              <w:t>意见</w:t>
            </w:r>
            <w:r>
              <w:rPr>
                <w:rFonts w:hint="default" w:ascii="Times New Roman" w:hAnsi="Times New Roman" w:cs="Times New Roman"/>
                <w:color w:val="auto"/>
                <w:sz w:val="24"/>
                <w:szCs w:val="24"/>
                <w:lang w:val="en-US" w:eastAsia="zh-CN"/>
              </w:rPr>
              <w:t>，项目废气中颗粒物排放执行《大气污染物综合排放标准》（GB16297-1996）表2中二级标准及无组织排放监控浓度限值，详见表1.2-1。</w:t>
            </w:r>
          </w:p>
          <w:p>
            <w:pPr>
              <w:keepNext/>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outlineLvl w:val="9"/>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1.2</w:t>
            </w:r>
            <w:r>
              <w:rPr>
                <w:rFonts w:hint="default" w:ascii="Times New Roman" w:hAnsi="Times New Roman" w:eastAsia="黑体" w:cs="Times New Roman"/>
                <w:color w:val="auto"/>
                <w:sz w:val="24"/>
                <w:szCs w:val="24"/>
                <w:highlight w:val="none"/>
              </w:rPr>
              <w:t>-1  大气污染物排放标准</w:t>
            </w:r>
            <w:r>
              <w:rPr>
                <w:rFonts w:hint="default" w:ascii="Times New Roman" w:hAnsi="Times New Roman" w:eastAsia="黑体" w:cs="Times New Roman"/>
                <w:color w:val="auto"/>
                <w:sz w:val="24"/>
                <w:szCs w:val="24"/>
                <w:highlight w:val="none"/>
                <w:lang w:eastAsia="zh-CN"/>
              </w:rPr>
              <w:t>及</w:t>
            </w:r>
            <w:r>
              <w:rPr>
                <w:rFonts w:hint="default" w:ascii="Times New Roman" w:hAnsi="Times New Roman" w:eastAsia="黑体" w:cs="Times New Roman"/>
                <w:color w:val="auto"/>
                <w:sz w:val="24"/>
                <w:szCs w:val="24"/>
                <w:highlight w:val="none"/>
              </w:rPr>
              <w:t>限值</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993"/>
              <w:gridCol w:w="955"/>
              <w:gridCol w:w="1470"/>
              <w:gridCol w:w="1473"/>
              <w:gridCol w:w="997"/>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8" w:type="pct"/>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548" w:type="pct"/>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w:t>
                  </w:r>
                  <w:r>
                    <w:rPr>
                      <w:rFonts w:hint="eastAsia" w:cs="Times New Roman"/>
                      <w:color w:val="auto"/>
                      <w:sz w:val="21"/>
                      <w:szCs w:val="21"/>
                      <w:highlight w:val="none"/>
                      <w:lang w:val="en-US" w:eastAsia="zh-CN"/>
                    </w:rPr>
                    <w:t>允</w:t>
                  </w:r>
                  <w:r>
                    <w:rPr>
                      <w:rFonts w:hint="default" w:ascii="Times New Roman" w:hAnsi="Times New Roman" w:eastAsia="宋体" w:cs="Times New Roman"/>
                      <w:color w:val="auto"/>
                      <w:sz w:val="21"/>
                      <w:szCs w:val="21"/>
                      <w:highlight w:val="none"/>
                    </w:rPr>
                    <w:t>许排放浓度(mg/m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33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w:t>
                  </w:r>
                  <w:r>
                    <w:rPr>
                      <w:rFonts w:hint="eastAsia" w:ascii="Times New Roman" w:hAnsi="Times New Roman" w:eastAsia="宋体" w:cs="Times New Roman"/>
                      <w:color w:val="auto"/>
                      <w:sz w:val="21"/>
                      <w:szCs w:val="21"/>
                      <w:highlight w:val="none"/>
                      <w:lang w:val="en-US" w:eastAsia="zh-CN"/>
                    </w:rPr>
                    <w:t>允</w:t>
                  </w:r>
                  <w:r>
                    <w:rPr>
                      <w:rFonts w:hint="default" w:ascii="Times New Roman" w:hAnsi="Times New Roman" w:eastAsia="宋体" w:cs="Times New Roman"/>
                      <w:color w:val="auto"/>
                      <w:sz w:val="21"/>
                      <w:szCs w:val="21"/>
                      <w:highlight w:val="none"/>
                    </w:rPr>
                    <w:t>许排放速率（kg/h）</w:t>
                  </w:r>
                </w:p>
              </w:tc>
              <w:tc>
                <w:tcPr>
                  <w:tcW w:w="13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监控浓度限值</w:t>
                  </w:r>
                </w:p>
              </w:tc>
              <w:tc>
                <w:tcPr>
                  <w:tcW w:w="1381" w:type="pct"/>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8"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48"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排气筒高度m</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w:t>
                  </w:r>
                </w:p>
              </w:tc>
              <w:tc>
                <w:tcPr>
                  <w:tcW w:w="81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w:t>
                  </w:r>
                </w:p>
              </w:tc>
              <w:tc>
                <w:tcPr>
                  <w:tcW w:w="5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381" w:type="pct"/>
                  <w:vMerge w:val="continue"/>
                  <w:tcBorders>
                    <w:tl2br w:val="nil"/>
                    <w:tr2bl w:val="nil"/>
                  </w:tcBorders>
                  <w:noWrap w:val="0"/>
                  <w:tcMar>
                    <w:left w:w="113" w:type="dxa"/>
                    <w:right w:w="113"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4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w:t>
                  </w:r>
                </w:p>
              </w:tc>
              <w:tc>
                <w:tcPr>
                  <w:tcW w:w="81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最高点</w:t>
                  </w:r>
                </w:p>
              </w:tc>
              <w:tc>
                <w:tcPr>
                  <w:tcW w:w="5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381" w:type="pct"/>
                  <w:tcBorders>
                    <w:tl2br w:val="nil"/>
                    <w:tr2bl w:val="nil"/>
                  </w:tcBorders>
                  <w:noWrap w:val="0"/>
                  <w:tcMar>
                    <w:left w:w="113" w:type="dxa"/>
                    <w:right w:w="113" w:type="dxa"/>
                  </w:tcMar>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《大气污染物综合排放标准》（GB16297-1996）表2二级标准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w:t>
            </w:r>
            <w:r>
              <w:rPr>
                <w:rFonts w:hint="eastAsia" w:ascii="Times New Roman" w:hAnsi="Times New Roman" w:cs="Times New Roman"/>
                <w:color w:val="auto"/>
                <w:sz w:val="24"/>
                <w:szCs w:val="24"/>
                <w:lang w:val="en-US" w:eastAsia="zh-CN"/>
              </w:rPr>
              <w:t>生产废水不外排，生活污水和初期雨水排入湾坞西污水处理厂处理。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根据项目环评报告表</w:t>
            </w:r>
            <w:r>
              <w:rPr>
                <w:rFonts w:hint="eastAsia" w:ascii="Times New Roman" w:hAnsi="Times New Roman" w:cs="Times New Roman"/>
                <w:color w:val="auto"/>
                <w:sz w:val="24"/>
                <w:szCs w:val="24"/>
                <w:lang w:val="en-US" w:eastAsia="zh-CN"/>
              </w:rPr>
              <w:t>及</w:t>
            </w:r>
            <w:r>
              <w:rPr>
                <w:rFonts w:hint="default" w:ascii="Times New Roman" w:hAnsi="Times New Roman" w:cs="Times New Roman"/>
                <w:color w:val="auto"/>
                <w:sz w:val="24"/>
                <w:szCs w:val="24"/>
                <w:lang w:val="en-US" w:eastAsia="zh-CN"/>
              </w:rPr>
              <w:t>批复</w:t>
            </w:r>
            <w:r>
              <w:rPr>
                <w:rFonts w:hint="eastAsia" w:ascii="Times New Roman" w:hAnsi="Times New Roman" w:cs="Times New Roman"/>
                <w:color w:val="auto"/>
                <w:sz w:val="24"/>
                <w:szCs w:val="24"/>
                <w:lang w:val="en-US" w:eastAsia="zh-CN"/>
              </w:rPr>
              <w:t>意见</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项目废水排放执行《污水综合排放标准》（GB8978-1996）表4三级排放标准，其中氨氮指标执行《污水排入城镇下水道水质标准》（GB/T31962-2015）中B等级标准。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lang w:val="en-US" w:eastAsia="zh-CN"/>
              </w:rPr>
              <w:t>根据排污许可证，DW001废水排放口排放废水需同时符合“国家或地方污染物排放标准浓度限值”和“排水协议规定的浓度限值”，</w:t>
            </w:r>
            <w:r>
              <w:rPr>
                <w:rFonts w:hint="default" w:ascii="Times New Roman" w:hAnsi="Times New Roman" w:eastAsia="宋体" w:cs="Times New Roman"/>
                <w:color w:val="auto"/>
                <w:sz w:val="24"/>
                <w:szCs w:val="24"/>
                <w:highlight w:val="none"/>
                <w:lang w:val="en-US" w:eastAsia="zh-CN"/>
              </w:rPr>
              <w:t>详见表</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pPr>
              <w:pStyle w:val="9"/>
              <w:keepNext/>
              <w:keepLines/>
              <w:pageBreakBefore w:val="0"/>
              <w:widowControl w:val="0"/>
              <w:kinsoku/>
              <w:wordWrap/>
              <w:overflowPunct/>
              <w:topLinePunct w:val="0"/>
              <w:autoSpaceDE/>
              <w:autoSpaceDN/>
              <w:bidi w:val="0"/>
              <w:adjustRightInd w:val="0"/>
              <w:snapToGrid w:val="0"/>
              <w:spacing w:before="96" w:beforeLines="30" w:after="96" w:afterLines="30"/>
              <w:textAlignment w:val="auto"/>
              <w:rPr>
                <w:rFonts w:hint="default" w:ascii="Times New Roman" w:hAnsi="Times New Roman" w:eastAsia="黑体" w:cs="Times New Roman"/>
                <w:bCs/>
                <w:color w:val="auto"/>
                <w:kern w:val="2"/>
                <w:sz w:val="24"/>
                <w:szCs w:val="24"/>
                <w:highlight w:val="none"/>
                <w:lang w:val="en-US" w:eastAsia="zh-CN" w:bidi="ar-SA"/>
              </w:rPr>
            </w:pPr>
            <w:r>
              <w:rPr>
                <w:rFonts w:hint="default" w:ascii="Times New Roman" w:hAnsi="Times New Roman" w:eastAsia="黑体" w:cs="Times New Roman"/>
                <w:bCs/>
                <w:color w:val="auto"/>
                <w:kern w:val="2"/>
                <w:sz w:val="24"/>
                <w:szCs w:val="24"/>
                <w:highlight w:val="none"/>
                <w:lang w:val="en-US" w:eastAsia="zh-CN" w:bidi="ar-SA"/>
              </w:rPr>
              <w:t>表1.</w:t>
            </w:r>
            <w:r>
              <w:rPr>
                <w:rFonts w:hint="eastAsia" w:ascii="Times New Roman" w:hAnsi="Times New Roman" w:eastAsia="黑体" w:cs="Times New Roman"/>
                <w:bCs/>
                <w:color w:val="auto"/>
                <w:kern w:val="2"/>
                <w:sz w:val="24"/>
                <w:szCs w:val="24"/>
                <w:highlight w:val="none"/>
                <w:lang w:val="en-US" w:eastAsia="zh-CN" w:bidi="ar-SA"/>
              </w:rPr>
              <w:t>2</w:t>
            </w:r>
            <w:r>
              <w:rPr>
                <w:rFonts w:hint="default" w:ascii="Times New Roman" w:hAnsi="Times New Roman" w:eastAsia="黑体" w:cs="Times New Roman"/>
                <w:bCs/>
                <w:color w:val="auto"/>
                <w:kern w:val="2"/>
                <w:sz w:val="24"/>
                <w:szCs w:val="24"/>
                <w:highlight w:val="none"/>
                <w:lang w:val="en-US" w:eastAsia="zh-CN" w:bidi="ar-SA"/>
              </w:rPr>
              <w:t>-</w:t>
            </w:r>
            <w:r>
              <w:rPr>
                <w:rFonts w:hint="eastAsia" w:ascii="Times New Roman" w:hAnsi="Times New Roman" w:eastAsia="黑体" w:cs="Times New Roman"/>
                <w:bCs/>
                <w:color w:val="auto"/>
                <w:kern w:val="2"/>
                <w:sz w:val="24"/>
                <w:szCs w:val="24"/>
                <w:highlight w:val="none"/>
                <w:lang w:val="en-US" w:eastAsia="zh-CN" w:bidi="ar-SA"/>
              </w:rPr>
              <w:t>2</w:t>
            </w:r>
            <w:r>
              <w:rPr>
                <w:rFonts w:hint="default" w:ascii="Times New Roman" w:hAnsi="Times New Roman" w:eastAsia="黑体" w:cs="Times New Roman"/>
                <w:bCs/>
                <w:color w:val="auto"/>
                <w:kern w:val="2"/>
                <w:sz w:val="24"/>
                <w:szCs w:val="24"/>
                <w:highlight w:val="none"/>
                <w:lang w:val="en-US" w:eastAsia="zh-CN" w:bidi="ar-SA"/>
              </w:rPr>
              <w:t xml:space="preserve">  </w:t>
            </w:r>
            <w:r>
              <w:rPr>
                <w:rFonts w:hint="eastAsia" w:ascii="Times New Roman" w:hAnsi="Times New Roman" w:eastAsia="黑体" w:cs="Times New Roman"/>
                <w:bCs/>
                <w:color w:val="auto"/>
                <w:kern w:val="2"/>
                <w:sz w:val="24"/>
                <w:szCs w:val="24"/>
                <w:highlight w:val="none"/>
                <w:lang w:val="en-US" w:eastAsia="zh-CN" w:bidi="ar-SA"/>
              </w:rPr>
              <w:t>废水</w:t>
            </w:r>
            <w:r>
              <w:rPr>
                <w:rFonts w:hint="default" w:ascii="Times New Roman" w:hAnsi="Times New Roman" w:eastAsia="黑体" w:cs="Times New Roman"/>
                <w:bCs/>
                <w:color w:val="auto"/>
                <w:kern w:val="2"/>
                <w:sz w:val="24"/>
                <w:szCs w:val="24"/>
                <w:highlight w:val="none"/>
                <w:lang w:val="en-US" w:eastAsia="zh-CN" w:bidi="ar-SA"/>
              </w:rPr>
              <w:t>排放</w:t>
            </w:r>
            <w:r>
              <w:rPr>
                <w:rFonts w:hint="eastAsia" w:ascii="Times New Roman" w:hAnsi="Times New Roman" w:eastAsia="黑体" w:cs="Times New Roman"/>
                <w:bCs/>
                <w:color w:val="auto"/>
                <w:kern w:val="2"/>
                <w:sz w:val="24"/>
                <w:szCs w:val="24"/>
                <w:highlight w:val="none"/>
                <w:lang w:val="en-US" w:eastAsia="zh-CN" w:bidi="ar-SA"/>
              </w:rPr>
              <w:t>标准</w:t>
            </w:r>
            <w:r>
              <w:rPr>
                <w:rFonts w:hint="default" w:ascii="Times New Roman" w:hAnsi="Times New Roman" w:eastAsia="黑体" w:cs="Times New Roman"/>
                <w:bCs/>
                <w:color w:val="auto"/>
                <w:kern w:val="2"/>
                <w:sz w:val="24"/>
                <w:szCs w:val="24"/>
                <w:highlight w:val="none"/>
                <w:lang w:val="en-US" w:eastAsia="zh-CN" w:bidi="ar-SA"/>
              </w:rPr>
              <w:t>及限值</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4"/>
              <w:gridCol w:w="674"/>
              <w:gridCol w:w="1013"/>
              <w:gridCol w:w="941"/>
              <w:gridCol w:w="1758"/>
              <w:gridCol w:w="979"/>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7" w:type="pc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污染物排放监控位置</w:t>
                  </w:r>
                </w:p>
              </w:tc>
              <w:tc>
                <w:tcPr>
                  <w:tcW w:w="372" w:type="pc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559" w:type="pc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污染</w:t>
                  </w:r>
                  <w:r>
                    <w:rPr>
                      <w:rFonts w:hint="eastAsia" w:ascii="Times New Roman" w:hAnsi="Times New Roman" w:cs="Times New Roman"/>
                      <w:color w:val="auto"/>
                      <w:sz w:val="21"/>
                      <w:szCs w:val="21"/>
                      <w:highlight w:val="none"/>
                      <w:lang w:val="en-US" w:eastAsia="zh-CN"/>
                    </w:rPr>
                    <w:t>物</w:t>
                  </w:r>
                </w:p>
              </w:tc>
              <w:tc>
                <w:tcPr>
                  <w:tcW w:w="519" w:type="pct"/>
                  <w:noWrap w:val="0"/>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970" w:type="pct"/>
                  <w:noWrap w:val="0"/>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国家或地方污染物排放标准浓度限值</w:t>
                  </w:r>
                </w:p>
              </w:tc>
              <w:tc>
                <w:tcPr>
                  <w:tcW w:w="540" w:type="pct"/>
                  <w:noWrap w:val="0"/>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排水协议规定的浓</w:t>
                  </w:r>
                </w:p>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度限值</w:t>
                  </w:r>
                </w:p>
              </w:tc>
              <w:tc>
                <w:tcPr>
                  <w:tcW w:w="1610" w:type="pct"/>
                  <w:noWrap w:val="0"/>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restar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DW001</w:t>
                  </w:r>
                </w:p>
              </w:tc>
              <w:tc>
                <w:tcPr>
                  <w:tcW w:w="372" w:type="pc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559" w:type="pct"/>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rPr>
                    <w:t>pH</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无量纲</w:t>
                  </w:r>
                </w:p>
              </w:tc>
              <w:tc>
                <w:tcPr>
                  <w:tcW w:w="97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rPr>
                    <w:t>6～9</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6～9</w:t>
                  </w:r>
                </w:p>
              </w:tc>
              <w:tc>
                <w:tcPr>
                  <w:tcW w:w="1610"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eastAsia="zh-CN"/>
                    </w:rPr>
                    <w:t>《污水综合排放标准》（GB8978-1996）表4三级排放标准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p>
              </w:tc>
              <w:tc>
                <w:tcPr>
                  <w:tcW w:w="372" w:type="pc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559" w:type="pct"/>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rPr>
                    <w:t>悬浮物</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mg/L</w:t>
                  </w:r>
                </w:p>
              </w:tc>
              <w:tc>
                <w:tcPr>
                  <w:tcW w:w="97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400</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300</w:t>
                  </w:r>
                </w:p>
              </w:tc>
              <w:tc>
                <w:tcPr>
                  <w:tcW w:w="1610" w:type="pct"/>
                  <w:vMerge w:val="continue"/>
                  <w:noWrap w:val="0"/>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p>
              </w:tc>
              <w:tc>
                <w:tcPr>
                  <w:tcW w:w="372" w:type="pc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559" w:type="pct"/>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rPr>
                    <w:t>COD</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mg/L</w:t>
                  </w:r>
                </w:p>
              </w:tc>
              <w:tc>
                <w:tcPr>
                  <w:tcW w:w="97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500</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360</w:t>
                  </w:r>
                </w:p>
              </w:tc>
              <w:tc>
                <w:tcPr>
                  <w:tcW w:w="1610" w:type="pct"/>
                  <w:vMerge w:val="continue"/>
                  <w:noWrap w:val="0"/>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p>
              </w:tc>
              <w:tc>
                <w:tcPr>
                  <w:tcW w:w="372" w:type="pc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559" w:type="pct"/>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BOD</w:t>
                  </w:r>
                  <w:r>
                    <w:rPr>
                      <w:rFonts w:hint="eastAsia" w:cs="Times New Roman"/>
                      <w:color w:val="auto"/>
                      <w:kern w:val="2"/>
                      <w:sz w:val="21"/>
                      <w:szCs w:val="21"/>
                      <w:highlight w:val="none"/>
                      <w:vertAlign w:val="subscript"/>
                      <w:lang w:val="en-US" w:eastAsia="zh-CN"/>
                    </w:rPr>
                    <w:t>5</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mg/L</w:t>
                  </w:r>
                </w:p>
              </w:tc>
              <w:tc>
                <w:tcPr>
                  <w:tcW w:w="97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300</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150</w:t>
                  </w:r>
                </w:p>
              </w:tc>
              <w:tc>
                <w:tcPr>
                  <w:tcW w:w="1610" w:type="pct"/>
                  <w:vMerge w:val="continue"/>
                  <w:noWrap w:val="0"/>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7" w:type="pct"/>
                  <w:vMerge w:val="continue"/>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p>
              </w:tc>
              <w:tc>
                <w:tcPr>
                  <w:tcW w:w="372" w:type="pc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559" w:type="pct"/>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氨氮</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mg/L</w:t>
                  </w:r>
                </w:p>
              </w:tc>
              <w:tc>
                <w:tcPr>
                  <w:tcW w:w="97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45</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w:t>
                  </w:r>
                </w:p>
              </w:tc>
              <w:tc>
                <w:tcPr>
                  <w:tcW w:w="1610" w:type="pct"/>
                  <w:vMerge w:val="restart"/>
                  <w:noWrap w:val="0"/>
                  <w:vAlign w:val="center"/>
                </w:tcPr>
                <w:p>
                  <w:pPr>
                    <w:pageBreakBefore w:val="0"/>
                    <w:widowControl w:val="0"/>
                    <w:kinsoku/>
                    <w:overflowPunct/>
                    <w:autoSpaceDE w:val="0"/>
                    <w:autoSpaceDN w:val="0"/>
                    <w:bidi w:val="0"/>
                    <w:adjustRightInd w:val="0"/>
                    <w:snapToGrid/>
                    <w:spacing w:line="26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污水排入城镇下水道水质标准》（GB/T31962-2015）中B级</w:t>
                  </w:r>
                  <w:r>
                    <w:rPr>
                      <w:rFonts w:hint="default" w:ascii="Times New Roman" w:hAnsi="Times New Roman" w:cs="Times New Roman"/>
                      <w:color w:val="auto"/>
                      <w:kern w:val="2"/>
                      <w:sz w:val="21"/>
                      <w:szCs w:val="21"/>
                      <w:highlight w:val="none"/>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cs="Times New Roman"/>
                      <w:color w:val="auto"/>
                      <w:sz w:val="21"/>
                      <w:szCs w:val="21"/>
                      <w:highlight w:val="none"/>
                    </w:rPr>
                  </w:pPr>
                </w:p>
              </w:tc>
              <w:tc>
                <w:tcPr>
                  <w:tcW w:w="372" w:type="pct"/>
                  <w:noWrap w:val="0"/>
                  <w:tcMar>
                    <w:left w:w="0" w:type="dxa"/>
                    <w:right w:w="0" w:type="dxa"/>
                  </w:tcMar>
                  <w:vAlign w:val="center"/>
                </w:tcPr>
                <w:p>
                  <w:pPr>
                    <w:pageBreakBefore w:val="0"/>
                    <w:widowControl w:val="0"/>
                    <w:kinsoku/>
                    <w:overflowPunct/>
                    <w:autoSpaceDE w:val="0"/>
                    <w:autoSpaceDN w:val="0"/>
                    <w:bidi w:val="0"/>
                    <w:adjustRightInd w:val="0"/>
                    <w:snapToGrid/>
                    <w:spacing w:line="26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59" w:type="pct"/>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总磷</w:t>
                  </w:r>
                </w:p>
              </w:tc>
              <w:tc>
                <w:tcPr>
                  <w:tcW w:w="51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mg/L</w:t>
                  </w:r>
                </w:p>
              </w:tc>
              <w:tc>
                <w:tcPr>
                  <w:tcW w:w="97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8</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w:t>
                  </w:r>
                </w:p>
              </w:tc>
              <w:tc>
                <w:tcPr>
                  <w:tcW w:w="1610" w:type="pct"/>
                  <w:vMerge w:val="continue"/>
                  <w:noWrap w:val="0"/>
                  <w:vAlign w:val="center"/>
                </w:tcPr>
                <w:p>
                  <w:pPr>
                    <w:pageBreakBefore w:val="0"/>
                    <w:widowControl w:val="0"/>
                    <w:kinsoku/>
                    <w:overflowPunct/>
                    <w:autoSpaceDE w:val="0"/>
                    <w:autoSpaceDN w:val="0"/>
                    <w:bidi w:val="0"/>
                    <w:adjustRightInd w:val="0"/>
                    <w:snapToGrid/>
                    <w:spacing w:line="260" w:lineRule="exact"/>
                    <w:jc w:val="both"/>
                    <w:rPr>
                      <w:rFonts w:hint="default" w:ascii="Times New Roman" w:hAnsi="Times New Roman" w:cs="Times New Roman"/>
                      <w:color w:val="auto"/>
                      <w:kern w:val="2"/>
                      <w:sz w:val="21"/>
                      <w:szCs w:val="21"/>
                      <w:highlight w:val="none"/>
                      <w:lang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（3）噪声</w:t>
            </w:r>
          </w:p>
          <w:p>
            <w:pPr>
              <w:pStyle w:val="25"/>
              <w:adjustRightInd w:val="0"/>
              <w:snapToGrid w:val="0"/>
              <w:spacing w:after="0"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szCs w:val="24"/>
                <w:highlight w:val="none"/>
                <w:lang w:val="en-US" w:eastAsia="zh-CN"/>
              </w:rPr>
              <w:t>根据项目</w:t>
            </w:r>
            <w:r>
              <w:rPr>
                <w:rFonts w:hint="default" w:ascii="Times New Roman" w:hAnsi="Times New Roman" w:cs="Times New Roman"/>
                <w:color w:val="auto"/>
                <w:sz w:val="24"/>
                <w:szCs w:val="24"/>
                <w:lang w:val="en-US" w:eastAsia="zh-CN"/>
              </w:rPr>
              <w:t>环评报告表</w:t>
            </w:r>
            <w:r>
              <w:rPr>
                <w:rFonts w:hint="eastAsia" w:ascii="Times New Roman" w:hAnsi="Times New Roman" w:cs="Times New Roman"/>
                <w:color w:val="auto"/>
                <w:sz w:val="24"/>
                <w:szCs w:val="24"/>
                <w:lang w:val="en-US" w:eastAsia="zh-CN"/>
              </w:rPr>
              <w:t>及</w:t>
            </w:r>
            <w:r>
              <w:rPr>
                <w:rFonts w:hint="default" w:ascii="Times New Roman" w:hAnsi="Times New Roman" w:cs="Times New Roman"/>
                <w:color w:val="auto"/>
                <w:sz w:val="24"/>
                <w:szCs w:val="24"/>
                <w:lang w:val="en-US" w:eastAsia="zh-CN"/>
              </w:rPr>
              <w:t>批复</w:t>
            </w:r>
            <w:r>
              <w:rPr>
                <w:rFonts w:hint="eastAsia" w:ascii="Times New Roman" w:hAnsi="Times New Roman" w:cs="Times New Roman"/>
                <w:color w:val="auto"/>
                <w:sz w:val="24"/>
                <w:szCs w:val="24"/>
                <w:lang w:val="en-US" w:eastAsia="zh-CN"/>
              </w:rPr>
              <w:t>意见</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highlight w:val="none"/>
              </w:rPr>
              <w:t>运营期</w:t>
            </w:r>
            <w:r>
              <w:rPr>
                <w:rFonts w:hint="default" w:ascii="Times New Roman" w:hAnsi="Times New Roman" w:eastAsia="宋体" w:cs="Times New Roman"/>
                <w:color w:val="auto"/>
                <w:sz w:val="24"/>
                <w:szCs w:val="24"/>
                <w:highlight w:val="none"/>
                <w:lang w:val="en-US" w:eastAsia="zh-CN"/>
              </w:rPr>
              <w:t>厂界噪声执行《工业企业厂界环境噪声排放标准》（GB12348-2008）3类标准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详见表</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bookmarkStart w:id="10" w:name="_Ref463165514"/>
          </w:p>
          <w:bookmarkEnd w:id="10"/>
          <w:p>
            <w:pPr>
              <w:pStyle w:val="9"/>
              <w:keepNext/>
              <w:keepLines/>
              <w:pageBreakBefore w:val="0"/>
              <w:widowControl w:val="0"/>
              <w:kinsoku/>
              <w:wordWrap/>
              <w:overflowPunct/>
              <w:topLinePunct w:val="0"/>
              <w:autoSpaceDE/>
              <w:autoSpaceDN/>
              <w:bidi w:val="0"/>
              <w:adjustRightInd w:val="0"/>
              <w:snapToGrid w:val="0"/>
              <w:spacing w:before="0" w:beforeLines="0" w:after="65" w:afterLines="20"/>
              <w:textAlignment w:val="auto"/>
              <w:rPr>
                <w:rFonts w:hint="default" w:ascii="Times New Roman" w:hAnsi="Times New Roman" w:cs="宋体"/>
                <w:color w:val="auto"/>
                <w:highlight w:val="none"/>
                <w:lang w:val="en-US" w:eastAsia="zh-CN"/>
              </w:rPr>
            </w:pPr>
            <w:r>
              <w:rPr>
                <w:rFonts w:hint="default" w:ascii="Times New Roman" w:hAnsi="Times New Roman" w:cs="宋体"/>
                <w:color w:val="auto"/>
                <w:highlight w:val="none"/>
                <w:lang w:val="en-US" w:eastAsia="zh-CN"/>
              </w:rPr>
              <w:t>表</w:t>
            </w:r>
            <w:r>
              <w:rPr>
                <w:rFonts w:hint="eastAsia" w:ascii="Times New Roman" w:hAnsi="Times New Roman" w:cs="宋体"/>
                <w:color w:val="auto"/>
                <w:highlight w:val="none"/>
                <w:lang w:val="en-US" w:eastAsia="zh-CN"/>
              </w:rPr>
              <w:t>1.2-3</w:t>
            </w:r>
            <w:r>
              <w:rPr>
                <w:rFonts w:hint="default" w:ascii="Times New Roman" w:hAnsi="Times New Roman" w:cs="宋体"/>
                <w:color w:val="auto"/>
                <w:highlight w:val="none"/>
                <w:lang w:val="en-US" w:eastAsia="zh-CN"/>
              </w:rPr>
              <w:t xml:space="preserve">  工业企业厂界环境噪声排放标准  单位：dB（A）</w:t>
            </w:r>
          </w:p>
          <w:tbl>
            <w:tblPr>
              <w:tblStyle w:val="28"/>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57"/>
              <w:gridCol w:w="3292"/>
              <w:gridCol w:w="1092"/>
              <w:gridCol w:w="2010"/>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tblHeader/>
                <w:jc w:val="center"/>
              </w:trPr>
              <w:tc>
                <w:tcPr>
                  <w:tcW w:w="415" w:type="pct"/>
                  <w:tcBorders>
                    <w:tl2br w:val="nil"/>
                    <w:tr2bl w:val="nil"/>
                  </w:tcBorders>
                  <w:noWrap w:val="0"/>
                  <w:tcMar>
                    <w:top w:w="0" w:type="dxa"/>
                    <w:left w:w="0" w:type="dxa"/>
                    <w:bottom w:w="0" w:type="dxa"/>
                    <w:right w:w="0" w:type="dxa"/>
                  </w:tcMar>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序号</w:t>
                  </w:r>
                </w:p>
              </w:tc>
              <w:tc>
                <w:tcPr>
                  <w:tcW w:w="1805" w:type="pct"/>
                  <w:tcBorders>
                    <w:tl2br w:val="nil"/>
                    <w:tr2bl w:val="nil"/>
                  </w:tcBorders>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w:t>
                  </w:r>
                </w:p>
              </w:tc>
              <w:tc>
                <w:tcPr>
                  <w:tcW w:w="599" w:type="pct"/>
                  <w:tcBorders>
                    <w:tl2br w:val="nil"/>
                    <w:tr2bl w:val="nil"/>
                  </w:tcBorders>
                  <w:noWrap w:val="0"/>
                  <w:tcMar>
                    <w:top w:w="0" w:type="dxa"/>
                    <w:left w:w="0" w:type="dxa"/>
                    <w:bottom w:w="0" w:type="dxa"/>
                    <w:right w:w="0" w:type="dxa"/>
                  </w:tcMar>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类别</w:t>
                  </w:r>
                </w:p>
              </w:tc>
              <w:tc>
                <w:tcPr>
                  <w:tcW w:w="1102"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昼间（dB(A)）</w:t>
                  </w:r>
                </w:p>
              </w:tc>
              <w:tc>
                <w:tcPr>
                  <w:tcW w:w="1077" w:type="pct"/>
                  <w:tcBorders>
                    <w:tl2br w:val="nil"/>
                    <w:tr2bl w:val="nil"/>
                  </w:tcBorders>
                  <w:noWrap w:val="0"/>
                  <w:tcMar>
                    <w:top w:w="0" w:type="dxa"/>
                    <w:left w:w="0" w:type="dxa"/>
                    <w:bottom w:w="0" w:type="dxa"/>
                    <w:right w:w="0" w:type="dxa"/>
                  </w:tcMar>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415"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w:t>
                  </w:r>
                </w:p>
              </w:tc>
              <w:tc>
                <w:tcPr>
                  <w:tcW w:w="1805" w:type="pct"/>
                  <w:tcBorders>
                    <w:tl2br w:val="nil"/>
                    <w:tr2bl w:val="nil"/>
                  </w:tcBorders>
                  <w:noWrap w:val="0"/>
                  <w:vAlign w:val="center"/>
                </w:tcPr>
                <w:p>
                  <w:pPr>
                    <w:snapToGrid w:val="0"/>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厂界</w:t>
                  </w:r>
                  <w:r>
                    <w:rPr>
                      <w:rFonts w:hint="eastAsia" w:ascii="Times New Roman" w:hAnsi="Times New Roman" w:eastAsia="宋体" w:cs="Times New Roman"/>
                      <w:color w:val="auto"/>
                      <w:sz w:val="21"/>
                      <w:highlight w:val="none"/>
                      <w:lang w:val="en-US" w:eastAsia="zh-CN"/>
                    </w:rPr>
                    <w:t>噪声</w:t>
                  </w:r>
                </w:p>
              </w:tc>
              <w:tc>
                <w:tcPr>
                  <w:tcW w:w="599"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eastAsia" w:ascii="Times New Roman" w:hAnsi="Times New Roman" w:cs="Times New Roman"/>
                      <w:color w:val="auto"/>
                      <w:sz w:val="21"/>
                      <w:highlight w:val="none"/>
                      <w:lang w:val="en-US" w:eastAsia="zh-CN"/>
                    </w:rPr>
                    <w:t>3</w:t>
                  </w:r>
                  <w:r>
                    <w:rPr>
                      <w:rFonts w:hint="default" w:ascii="Times New Roman" w:hAnsi="Times New Roman" w:eastAsia="宋体" w:cs="Times New Roman"/>
                      <w:color w:val="auto"/>
                      <w:sz w:val="21"/>
                      <w:highlight w:val="none"/>
                    </w:rPr>
                    <w:t>类</w:t>
                  </w:r>
                </w:p>
              </w:tc>
              <w:tc>
                <w:tcPr>
                  <w:tcW w:w="1102"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65</w:t>
                  </w:r>
                </w:p>
              </w:tc>
              <w:tc>
                <w:tcPr>
                  <w:tcW w:w="1077"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固废</w:t>
            </w:r>
          </w:p>
          <w:p>
            <w:pPr>
              <w:pStyle w:val="15"/>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根据项目</w:t>
            </w:r>
            <w:r>
              <w:rPr>
                <w:rFonts w:hint="default" w:ascii="Times New Roman" w:hAnsi="Times New Roman" w:cs="Times New Roman"/>
                <w:color w:val="auto"/>
                <w:sz w:val="24"/>
                <w:szCs w:val="24"/>
                <w:lang w:val="en-US" w:eastAsia="zh-CN"/>
              </w:rPr>
              <w:t>环评报告表</w:t>
            </w:r>
            <w:r>
              <w:rPr>
                <w:rFonts w:hint="eastAsia" w:ascii="Times New Roman" w:hAnsi="Times New Roman" w:cs="Times New Roman"/>
                <w:color w:val="auto"/>
                <w:sz w:val="24"/>
                <w:szCs w:val="24"/>
                <w:lang w:val="en-US" w:eastAsia="zh-CN"/>
              </w:rPr>
              <w:t>及</w:t>
            </w:r>
            <w:r>
              <w:rPr>
                <w:rFonts w:hint="default" w:ascii="Times New Roman" w:hAnsi="Times New Roman" w:cs="Times New Roman"/>
                <w:color w:val="auto"/>
                <w:sz w:val="24"/>
                <w:szCs w:val="24"/>
                <w:lang w:val="en-US" w:eastAsia="zh-CN"/>
              </w:rPr>
              <w:t>批复</w:t>
            </w:r>
            <w:r>
              <w:rPr>
                <w:rFonts w:hint="eastAsia" w:ascii="Times New Roman" w:hAnsi="Times New Roman" w:cs="Times New Roman"/>
                <w:color w:val="auto"/>
                <w:sz w:val="24"/>
                <w:szCs w:val="24"/>
                <w:lang w:val="en-US" w:eastAsia="zh-CN"/>
              </w:rPr>
              <w:t>意见</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项目一般工业固体废物</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贮存处置执行《一般工业固体废物贮存和填埋污染控制标准》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 18599-2020）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危险废物</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贮存</w:t>
            </w:r>
            <w:r>
              <w:rPr>
                <w:rFonts w:hint="eastAsia" w:ascii="Times New Roman" w:hAnsi="Times New Roman" w:eastAsia="宋体" w:cs="Times New Roman"/>
                <w:color w:val="auto"/>
                <w:sz w:val="24"/>
                <w:szCs w:val="24"/>
                <w:highlight w:val="none"/>
                <w:lang w:val="en-US" w:eastAsia="zh-CN"/>
              </w:rPr>
              <w:t>和转运</w:t>
            </w:r>
            <w:r>
              <w:rPr>
                <w:rFonts w:hint="default" w:ascii="Times New Roman" w:hAnsi="Times New Roman" w:eastAsia="宋体" w:cs="Times New Roman"/>
                <w:color w:val="auto"/>
                <w:sz w:val="24"/>
                <w:szCs w:val="24"/>
                <w:highlight w:val="none"/>
                <w:lang w:val="en-US" w:eastAsia="zh-CN"/>
              </w:rPr>
              <w:t>执行《危险废物贮存污染控制标准》（GB 18597-2023）</w:t>
            </w:r>
            <w:r>
              <w:rPr>
                <w:rFonts w:hint="eastAsia" w:ascii="Times New Roman" w:hAnsi="Times New Roman" w:eastAsia="宋体" w:cs="Times New Roman"/>
                <w:color w:val="auto"/>
                <w:sz w:val="24"/>
                <w:szCs w:val="24"/>
                <w:highlight w:val="none"/>
                <w:lang w:val="en-US" w:eastAsia="zh-CN"/>
              </w:rPr>
              <w:t>。</w:t>
            </w:r>
          </w:p>
          <w:p>
            <w:pPr>
              <w:pStyle w:val="6"/>
              <w:keepNext/>
              <w:keepLines w:val="0"/>
              <w:pageBreakBefore w:val="0"/>
              <w:widowControl w:val="0"/>
              <w:kinsoku/>
              <w:wordWrap/>
              <w:overflowPunct/>
              <w:topLinePunct w:val="0"/>
              <w:autoSpaceDE/>
              <w:autoSpaceDN/>
              <w:bidi w:val="0"/>
              <w:adjustRightInd/>
              <w:snapToGrid/>
              <w:spacing w:line="360" w:lineRule="auto"/>
              <w:ind w:left="0" w:leftChars="0" w:right="0" w:rightChars="0" w:firstLine="600" w:firstLineChars="200"/>
              <w:jc w:val="left"/>
              <w:textAlignment w:val="auto"/>
              <w:outlineLvl w:val="1"/>
              <w:rPr>
                <w:rFonts w:hint="default" w:ascii="Times New Roman" w:hAnsi="Times New Roman" w:cs="Times New Roman"/>
                <w:color w:val="auto"/>
                <w:highlight w:val="none"/>
                <w:lang w:val="en-US" w:eastAsia="zh-CN"/>
              </w:rPr>
            </w:pPr>
          </w:p>
        </w:tc>
      </w:tr>
    </w:tbl>
    <w:p>
      <w:pPr>
        <w:rPr>
          <w:rFonts w:hint="default" w:ascii="Times New Roman" w:hAnsi="Times New Roman" w:cs="Times New Roman"/>
          <w:highlight w:val="none"/>
          <w:lang w:val="en-US" w:eastAsia="zh-CN"/>
        </w:rPr>
        <w:sectPr>
          <w:footerReference r:id="rId3" w:type="default"/>
          <w:pgSz w:w="11906" w:h="16838"/>
          <w:pgMar w:top="1417" w:right="1417" w:bottom="1417" w:left="1417" w:header="851" w:footer="992" w:gutter="0"/>
          <w:pgNumType w:fmt="decimal" w:start="1"/>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224" w:beforeLines="70" w:after="224" w:afterLines="70"/>
        <w:textAlignment w:val="auto"/>
        <w:rPr>
          <w:rFonts w:hint="default" w:ascii="Times New Roman" w:hAnsi="Times New Roman" w:cs="Times New Roman"/>
          <w:color w:val="auto"/>
          <w:highlight w:val="none"/>
          <w:lang w:val="en-US" w:eastAsia="zh-CN"/>
        </w:rPr>
      </w:pPr>
      <w:bookmarkStart w:id="11" w:name="_Toc25921"/>
      <w:r>
        <w:rPr>
          <w:rFonts w:hint="default" w:ascii="Times New Roman" w:hAnsi="Times New Roman" w:cs="Times New Roman"/>
          <w:highlight w:val="none"/>
          <w:lang w:eastAsia="zh-CN"/>
        </w:rPr>
        <w:t>表二</w:t>
      </w:r>
      <w:r>
        <w:rPr>
          <w:rFonts w:hint="default" w:ascii="Times New Roman" w:hAnsi="Times New Roman" w:cs="Times New Roman"/>
          <w:highlight w:val="none"/>
          <w:lang w:val="en-US" w:eastAsia="zh-CN"/>
        </w:rPr>
        <w:t xml:space="preserve">  建设内容、原辅材料消耗及水平衡</w:t>
      </w:r>
      <w:r>
        <w:rPr>
          <w:rFonts w:hint="default" w:ascii="Times New Roman" w:hAnsi="Times New Roman" w:cs="Times New Roman"/>
          <w:color w:val="auto"/>
          <w:highlight w:val="none"/>
          <w:lang w:val="en-US" w:eastAsia="zh-CN"/>
        </w:rPr>
        <w:t>、生产工艺</w:t>
      </w:r>
      <w:bookmarkEnd w:id="11"/>
    </w:p>
    <w:p>
      <w:pPr>
        <w:pStyle w:val="6"/>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color w:val="auto"/>
          <w:highlight w:val="none"/>
          <w:lang w:val="en-US" w:eastAsia="zh-CN"/>
        </w:rPr>
      </w:pPr>
      <w:bookmarkStart w:id="12" w:name="_Toc10087"/>
      <w:r>
        <w:rPr>
          <w:rFonts w:hint="default" w:ascii="Times New Roman" w:hAnsi="Times New Roman" w:cs="Times New Roman"/>
          <w:color w:val="auto"/>
          <w:highlight w:val="none"/>
          <w:lang w:val="en-US" w:eastAsia="zh-CN"/>
        </w:rPr>
        <w:t>2.1建设内容</w:t>
      </w:r>
      <w:bookmarkEnd w:id="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本次验收</w:t>
      </w:r>
      <w:r>
        <w:rPr>
          <w:rFonts w:hint="default" w:ascii="Times New Roman" w:hAnsi="Times New Roman" w:cs="Times New Roman"/>
          <w:color w:val="auto"/>
          <w:sz w:val="24"/>
          <w:szCs w:val="24"/>
          <w:highlight w:val="none"/>
        </w:rPr>
        <w:t>建设内容及项目组成见表2</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highlight w:val="none"/>
          <w:lang w:val="en-US" w:eastAsia="zh-CN"/>
        </w:rPr>
      </w:pPr>
      <w:r>
        <w:rPr>
          <w:rFonts w:hint="default" w:ascii="Times New Roman" w:hAnsi="Times New Roman" w:cs="宋体"/>
          <w:color w:val="auto"/>
          <w:highlight w:val="none"/>
          <w:lang w:val="en-US" w:eastAsia="zh-CN"/>
        </w:rPr>
        <w:t>表2.1-1  项目建设内容及项目组成表</w:t>
      </w:r>
    </w:p>
    <w:tbl>
      <w:tblPr>
        <w:tblStyle w:val="28"/>
        <w:tblW w:w="504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60"/>
        <w:gridCol w:w="484"/>
        <w:gridCol w:w="4796"/>
        <w:gridCol w:w="5036"/>
        <w:gridCol w:w="32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tblHeader/>
          <w:jc w:val="center"/>
        </w:trPr>
        <w:tc>
          <w:tcPr>
            <w:tcW w:w="198" w:type="pct"/>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组成</w:t>
            </w:r>
          </w:p>
        </w:tc>
        <w:tc>
          <w:tcPr>
            <w:tcW w:w="1866" w:type="pct"/>
            <w:gridSpan w:val="2"/>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环评时</w:t>
            </w:r>
            <w:r>
              <w:rPr>
                <w:rFonts w:hint="default" w:ascii="Times New Roman" w:hAnsi="Times New Roman" w:cs="Times New Roman"/>
                <w:b/>
                <w:bCs/>
                <w:color w:val="auto"/>
                <w:sz w:val="21"/>
                <w:szCs w:val="21"/>
                <w:highlight w:val="none"/>
              </w:rPr>
              <w:t>主要建设内容</w:t>
            </w:r>
          </w:p>
        </w:tc>
        <w:tc>
          <w:tcPr>
            <w:tcW w:w="1780" w:type="pct"/>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实际建设情况</w:t>
            </w:r>
          </w:p>
        </w:tc>
        <w:tc>
          <w:tcPr>
            <w:tcW w:w="1155" w:type="pct"/>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建设变化情况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98" w:type="pct"/>
            <w:vMerge w:val="restart"/>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171" w:type="pct"/>
            <w:vMerge w:val="restar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生产区域</w:t>
            </w:r>
          </w:p>
        </w:tc>
        <w:tc>
          <w:tcPr>
            <w:tcW w:w="1694"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在原有矿渣堆棚（</w:t>
            </w:r>
            <w:r>
              <w:rPr>
                <w:rFonts w:hint="default" w:ascii="Times New Roman" w:hAnsi="Times New Roman" w:eastAsia="宋体" w:cs="Times New Roman"/>
                <w:color w:val="auto"/>
                <w:kern w:val="0"/>
                <w:sz w:val="21"/>
                <w:szCs w:val="21"/>
                <w:highlight w:val="none"/>
                <w:lang w:val="en-US" w:eastAsia="zh-CN" w:bidi="ar"/>
              </w:rPr>
              <w:t>26568m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）厂房内，</w:t>
            </w:r>
            <w:r>
              <w:rPr>
                <w:rFonts w:hint="default" w:ascii="Times New Roman" w:hAnsi="Times New Roman" w:cs="Times New Roman"/>
                <w:color w:val="auto"/>
                <w:sz w:val="21"/>
                <w:szCs w:val="21"/>
                <w:highlight w:val="none"/>
                <w:lang w:val="en-US" w:eastAsia="zh-CN"/>
              </w:rPr>
              <w:t>划出2720m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区域建设一条钢渣综合利用</w:t>
            </w:r>
            <w:r>
              <w:rPr>
                <w:rFonts w:hint="default" w:ascii="Times New Roman" w:hAnsi="Times New Roman" w:cs="Times New Roman"/>
                <w:color w:val="auto"/>
                <w:sz w:val="21"/>
                <w:szCs w:val="21"/>
                <w:highlight w:val="none"/>
              </w:rPr>
              <w:t>生产</w:t>
            </w:r>
            <w:r>
              <w:rPr>
                <w:rFonts w:hint="default" w:ascii="Times New Roman" w:hAnsi="Times New Roman" w:cs="Times New Roman"/>
                <w:color w:val="auto"/>
                <w:sz w:val="21"/>
                <w:szCs w:val="21"/>
                <w:highlight w:val="none"/>
                <w:lang w:val="en-US" w:eastAsia="zh-CN"/>
              </w:rPr>
              <w:t>线</w:t>
            </w:r>
            <w:r>
              <w:rPr>
                <w:rFonts w:hint="default" w:ascii="Times New Roman" w:hAnsi="Times New Roman" w:cs="Times New Roman"/>
                <w:color w:val="auto"/>
                <w:sz w:val="21"/>
                <w:szCs w:val="21"/>
                <w:highlight w:val="none"/>
              </w:rPr>
              <w:t>，</w:t>
            </w:r>
          </w:p>
        </w:tc>
        <w:tc>
          <w:tcPr>
            <w:tcW w:w="1780"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在原有矿渣堆棚（</w:t>
            </w:r>
            <w:r>
              <w:rPr>
                <w:rFonts w:hint="default" w:ascii="Times New Roman" w:hAnsi="Times New Roman" w:eastAsia="宋体" w:cs="Times New Roman"/>
                <w:color w:val="auto"/>
                <w:kern w:val="0"/>
                <w:sz w:val="21"/>
                <w:szCs w:val="21"/>
                <w:highlight w:val="none"/>
                <w:lang w:val="en-US" w:eastAsia="zh-CN" w:bidi="ar"/>
              </w:rPr>
              <w:t>26568m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）厂房</w:t>
            </w:r>
            <w:r>
              <w:rPr>
                <w:rFonts w:hint="eastAsia" w:eastAsia="宋体" w:cs="Times New Roman"/>
                <w:color w:val="auto"/>
                <w:sz w:val="21"/>
                <w:szCs w:val="21"/>
                <w:highlight w:val="none"/>
                <w:lang w:val="en-US" w:eastAsia="zh-CN"/>
              </w:rPr>
              <w:t>内</w:t>
            </w:r>
            <w:r>
              <w:rPr>
                <w:rFonts w:hint="default" w:ascii="Times New Roman" w:hAnsi="Times New Roman" w:cs="Times New Roman"/>
                <w:color w:val="auto"/>
                <w:sz w:val="21"/>
                <w:szCs w:val="21"/>
                <w:highlight w:val="none"/>
                <w:lang w:val="en-US" w:eastAsia="zh-CN"/>
              </w:rPr>
              <w:t>西北侧划出2720m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区域和东南侧划出900m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区域</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实际使用现有厂房内的面积增至3620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建设一条钢渣综合利用</w:t>
            </w:r>
            <w:r>
              <w:rPr>
                <w:rFonts w:hint="default" w:ascii="Times New Roman" w:hAnsi="Times New Roman" w:cs="Times New Roman"/>
                <w:color w:val="auto"/>
                <w:sz w:val="21"/>
                <w:szCs w:val="21"/>
                <w:highlight w:val="none"/>
              </w:rPr>
              <w:t>生产</w:t>
            </w:r>
            <w:r>
              <w:rPr>
                <w:rFonts w:hint="default" w:ascii="Times New Roman" w:hAnsi="Times New Roman" w:cs="Times New Roman"/>
                <w:color w:val="auto"/>
                <w:sz w:val="21"/>
                <w:szCs w:val="21"/>
                <w:highlight w:val="none"/>
                <w:lang w:val="en-US" w:eastAsia="zh-CN"/>
              </w:rPr>
              <w:t>线</w:t>
            </w:r>
            <w:r>
              <w:rPr>
                <w:rFonts w:hint="eastAsia" w:ascii="Times New Roman" w:hAnsi="Times New Roman" w:cs="Times New Roman"/>
                <w:color w:val="auto"/>
                <w:sz w:val="21"/>
                <w:szCs w:val="21"/>
                <w:highlight w:val="none"/>
                <w:lang w:val="en-US" w:eastAsia="zh-CN"/>
              </w:rPr>
              <w:t>。</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在同一厂房内</w:t>
            </w:r>
            <w:r>
              <w:rPr>
                <w:rFonts w:hint="default" w:ascii="Times New Roman" w:hAnsi="Times New Roman" w:cs="Times New Roman"/>
                <w:color w:val="auto"/>
                <w:sz w:val="21"/>
                <w:szCs w:val="21"/>
                <w:highlight w:val="none"/>
                <w:lang w:val="en-US" w:eastAsia="zh-CN"/>
              </w:rPr>
              <w:t>新增900m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生产区域</w:t>
            </w:r>
            <w:r>
              <w:rPr>
                <w:rFonts w:hint="eastAsia" w:ascii="Times New Roman" w:hAnsi="Times New Roman" w:cs="Times New Roman"/>
                <w:color w:val="auto"/>
                <w:sz w:val="21"/>
                <w:szCs w:val="21"/>
                <w:highlight w:val="none"/>
                <w:lang w:val="en-US" w:eastAsia="zh-CN"/>
              </w:rPr>
              <w:t>，用于设备布局调整优化，生产、处置规模不变。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i w:val="0"/>
                <w:color w:val="auto"/>
                <w:kern w:val="0"/>
                <w:sz w:val="21"/>
                <w:szCs w:val="21"/>
                <w:highlight w:val="none"/>
                <w:u w:val="none"/>
                <w:lang w:val="en-US" w:eastAsia="zh-CN" w:bidi="ar"/>
              </w:rPr>
            </w:pPr>
          </w:p>
        </w:tc>
        <w:tc>
          <w:tcPr>
            <w:tcW w:w="1694"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年产5万吨钢渣细粉和55万吨路基垫层，</w:t>
            </w:r>
          </w:p>
        </w:tc>
        <w:tc>
          <w:tcPr>
            <w:tcW w:w="1780"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年产5万吨钢渣细粉</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5万吨路基垫层</w:t>
            </w:r>
            <w:r>
              <w:rPr>
                <w:rFonts w:hint="eastAsia" w:ascii="Times New Roman" w:hAnsi="Times New Roman" w:cs="Times New Roman"/>
                <w:color w:val="auto"/>
                <w:sz w:val="21"/>
                <w:szCs w:val="21"/>
                <w:highlight w:val="none"/>
                <w:lang w:val="en-US" w:eastAsia="zh-CN"/>
              </w:rPr>
              <w:t>和30</w:t>
            </w:r>
            <w:r>
              <w:rPr>
                <w:rFonts w:hint="default" w:ascii="Times New Roman" w:hAnsi="Times New Roman" w:cs="Times New Roman"/>
                <w:color w:val="auto"/>
                <w:sz w:val="21"/>
                <w:szCs w:val="21"/>
                <w:highlight w:val="none"/>
                <w:lang w:val="en-US" w:eastAsia="zh-CN"/>
              </w:rPr>
              <w:t>万吨</w:t>
            </w:r>
            <w:r>
              <w:rPr>
                <w:rFonts w:hint="eastAsia" w:ascii="Times New Roman" w:hAnsi="Times New Roman" w:cs="Times New Roman"/>
                <w:color w:val="auto"/>
                <w:sz w:val="21"/>
                <w:szCs w:val="21"/>
                <w:highlight w:val="none"/>
                <w:lang w:val="en-US" w:eastAsia="zh-CN"/>
              </w:rPr>
              <w:t>机制砂。</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增加机制砂产品，减少</w:t>
            </w:r>
            <w:r>
              <w:rPr>
                <w:rFonts w:hint="default" w:ascii="Times New Roman" w:hAnsi="Times New Roman" w:cs="Times New Roman"/>
                <w:color w:val="auto"/>
                <w:sz w:val="21"/>
                <w:szCs w:val="21"/>
                <w:highlight w:val="none"/>
                <w:lang w:val="en-US" w:eastAsia="zh-CN"/>
              </w:rPr>
              <w:t>路基垫层</w:t>
            </w:r>
            <w:r>
              <w:rPr>
                <w:rFonts w:hint="eastAsia" w:ascii="Times New Roman" w:hAnsi="Times New Roman" w:cs="Times New Roman"/>
                <w:color w:val="auto"/>
                <w:sz w:val="21"/>
                <w:szCs w:val="21"/>
                <w:highlight w:val="none"/>
                <w:lang w:val="en-US" w:eastAsia="zh-CN"/>
              </w:rPr>
              <w:t>产量，建材总产能保持60万t/a不变。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i w:val="0"/>
                <w:color w:val="auto"/>
                <w:kern w:val="0"/>
                <w:sz w:val="21"/>
                <w:szCs w:val="21"/>
                <w:highlight w:val="none"/>
                <w:u w:val="none"/>
                <w:lang w:val="en-US" w:eastAsia="zh-CN" w:bidi="ar"/>
              </w:rPr>
            </w:pPr>
          </w:p>
        </w:tc>
        <w:tc>
          <w:tcPr>
            <w:tcW w:w="1694"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生产设备区域占地面积为1720m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eastAsia="zh-CN"/>
              </w:rPr>
              <w:t>；</w:t>
            </w:r>
          </w:p>
        </w:tc>
        <w:tc>
          <w:tcPr>
            <w:tcW w:w="1780"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项目实际生产设备区域占地面积25</w:t>
            </w:r>
            <w:r>
              <w:rPr>
                <w:rFonts w:hint="default" w:ascii="Times New Roman" w:hAnsi="Times New Roman" w:cs="Times New Roman"/>
                <w:color w:val="auto"/>
                <w:sz w:val="21"/>
                <w:szCs w:val="21"/>
                <w:highlight w:val="none"/>
                <w:lang w:val="en-US" w:eastAsia="zh-CN"/>
              </w:rPr>
              <w:t>20m</w:t>
            </w:r>
            <w:r>
              <w:rPr>
                <w:rFonts w:hint="default"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eastAsia="zh-CN"/>
              </w:rPr>
              <w:t>。</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新增</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生产区域</w:t>
            </w:r>
            <w:r>
              <w:rPr>
                <w:rFonts w:hint="eastAsia" w:ascii="Times New Roman" w:hAnsi="Times New Roman" w:cs="Times New Roman"/>
                <w:color w:val="auto"/>
                <w:sz w:val="21"/>
                <w:szCs w:val="21"/>
                <w:highlight w:val="none"/>
                <w:lang w:val="en-US" w:eastAsia="zh-CN"/>
              </w:rPr>
              <w:t>面积，生产、处置规模不变。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46"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tcBorders>
              <w:righ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p>
        </w:tc>
        <w:tc>
          <w:tcPr>
            <w:tcW w:w="1694"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新增设备包括1台搅拌机、2台破碎机、1台筛分机等</w:t>
            </w:r>
            <w:r>
              <w:rPr>
                <w:rFonts w:hint="default" w:ascii="Times New Roman" w:hAnsi="Times New Roman" w:cs="Times New Roman"/>
                <w:color w:val="auto"/>
                <w:sz w:val="21"/>
                <w:szCs w:val="21"/>
                <w:highlight w:val="none"/>
                <w:lang w:eastAsia="zh-CN"/>
              </w:rPr>
              <w:t>；</w:t>
            </w:r>
          </w:p>
        </w:tc>
        <w:tc>
          <w:tcPr>
            <w:tcW w:w="1780"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设备包括2台破碎机、1台筛分机等</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取消1台搅拌机，其余与环评一致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32"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tcBorders>
              <w:righ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p>
        </w:tc>
        <w:tc>
          <w:tcPr>
            <w:tcW w:w="1694"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r>
              <w:rPr>
                <w:rFonts w:hint="default" w:ascii="Times New Roman" w:hAnsi="Times New Roman" w:cs="Times New Roman"/>
                <w:color w:val="auto"/>
                <w:sz w:val="21"/>
                <w:szCs w:val="21"/>
              </w:rPr>
              <w:t>2个200t的</w:t>
            </w:r>
            <w:r>
              <w:rPr>
                <w:rFonts w:hint="default" w:ascii="Times New Roman" w:hAnsi="Times New Roman" w:cs="Times New Roman"/>
                <w:color w:val="auto"/>
                <w:sz w:val="21"/>
                <w:szCs w:val="21"/>
                <w:highlight w:val="none"/>
                <w:lang w:val="en-US" w:eastAsia="zh-CN"/>
              </w:rPr>
              <w:t>钢渣细粉成品</w:t>
            </w:r>
            <w:r>
              <w:rPr>
                <w:rFonts w:hint="default" w:ascii="Times New Roman" w:hAnsi="Times New Roman" w:cs="Times New Roman"/>
                <w:color w:val="auto"/>
                <w:sz w:val="21"/>
                <w:szCs w:val="21"/>
              </w:rPr>
              <w:t>储罐</w:t>
            </w:r>
            <w:r>
              <w:rPr>
                <w:rFonts w:hint="default" w:ascii="Times New Roman" w:hAnsi="Times New Roman" w:cs="Times New Roman"/>
                <w:color w:val="auto"/>
                <w:sz w:val="21"/>
                <w:szCs w:val="21"/>
                <w:highlight w:val="none"/>
                <w:lang w:val="en-US" w:eastAsia="zh-CN"/>
              </w:rPr>
              <w:t>。</w:t>
            </w:r>
          </w:p>
        </w:tc>
        <w:tc>
          <w:tcPr>
            <w:tcW w:w="1780"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取消</w:t>
            </w:r>
            <w:r>
              <w:rPr>
                <w:rFonts w:hint="default" w:ascii="Times New Roman" w:hAnsi="Times New Roman" w:cs="Times New Roman"/>
                <w:color w:val="auto"/>
                <w:sz w:val="21"/>
                <w:szCs w:val="21"/>
              </w:rPr>
              <w:t>2个200t的</w:t>
            </w:r>
            <w:r>
              <w:rPr>
                <w:rFonts w:hint="default" w:ascii="Times New Roman" w:hAnsi="Times New Roman" w:cs="Times New Roman"/>
                <w:color w:val="auto"/>
                <w:sz w:val="21"/>
                <w:szCs w:val="21"/>
                <w:highlight w:val="none"/>
                <w:lang w:val="en-US" w:eastAsia="zh-CN"/>
              </w:rPr>
              <w:t>钢渣细粉成品</w:t>
            </w:r>
            <w:r>
              <w:rPr>
                <w:rFonts w:hint="default" w:ascii="Times New Roman" w:hAnsi="Times New Roman" w:cs="Times New Roman"/>
                <w:color w:val="auto"/>
                <w:sz w:val="21"/>
                <w:szCs w:val="21"/>
              </w:rPr>
              <w:t>储罐</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lang w:val="en-US" w:eastAsia="zh-CN"/>
              </w:rPr>
              <w:t>建设，</w:t>
            </w:r>
            <w:r>
              <w:rPr>
                <w:rFonts w:hint="eastAsia" w:ascii="Times New Roman" w:hAnsi="Times New Roman" w:cs="Times New Roman"/>
                <w:color w:val="auto"/>
                <w:sz w:val="21"/>
                <w:szCs w:val="21"/>
                <w:highlight w:val="none"/>
                <w:lang w:val="en-US" w:eastAsia="zh-CN"/>
              </w:rPr>
              <w:t>钢渣细粉暂存于布袋除尘灰仓中，布袋除尘灰尘仓</w:t>
            </w:r>
            <w:r>
              <w:rPr>
                <w:rFonts w:hint="default" w:ascii="Times New Roman" w:hAnsi="Times New Roman" w:cs="Times New Roman"/>
                <w:color w:val="auto"/>
                <w:sz w:val="21"/>
                <w:szCs w:val="21"/>
                <w:highlight w:val="none"/>
                <w:lang w:val="en-US" w:eastAsia="zh-CN"/>
              </w:rPr>
              <w:t>容积</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00m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取消钢渣细粉储罐建设，钢渣细粉储存于布袋除尘灰仓中，最大储存规模保持400t不变。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901"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原料临时堆场</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在生产区域西侧新建一个半封闭的本项目原料临时堆场，面积300m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，四面围挡，在堆场各设置2个喷雾抑尘设施。</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（1）原料临时堆场用于堆放水淬精炼渣、水淬镍铁渣原料，并布设上料斗，承担上料功能，位置由厂房内西北侧调整至厂房内中部，面积保持300m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不变。</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（2）厂房内筛分设备下方新增中间产品临时堆场1个，面积100m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，用于暂存1次破碎筛分后的水淬精炼渣中间产品，后续由自卸车运至二次破碎生产设备制成矿渣细粉。</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（3）堆场区域四周设置围挡，采用雾炮抑尘设施。</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厂房内新增1个</w:t>
            </w:r>
            <w:r>
              <w:rPr>
                <w:rFonts w:hint="eastAsia" w:ascii="Times New Roman" w:hAnsi="Times New Roman" w:cs="Times New Roman"/>
                <w:color w:val="auto"/>
                <w:sz w:val="21"/>
                <w:szCs w:val="21"/>
                <w:highlight w:val="none"/>
                <w:lang w:val="en-US" w:eastAsia="zh-CN"/>
              </w:rPr>
              <w:t>100m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中间产品临时堆场，储存能力增加7.7%（环评时原料堆场300m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，成品堆场1000m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），储存能力增加量小于30%。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50"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路基垫层成品堆场</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在生产区域东侧新建一个半封闭的路基垫层成品堆场，面积1000m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，四面围挡，在堆场设置4个喷雾抑尘设施。</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成品堆场</w:t>
            </w:r>
            <w:r>
              <w:rPr>
                <w:rFonts w:hint="eastAsia" w:ascii="Times New Roman" w:hAnsi="Times New Roman" w:cs="Times New Roman"/>
                <w:color w:val="auto"/>
                <w:sz w:val="21"/>
                <w:szCs w:val="21"/>
                <w:highlight w:val="none"/>
                <w:lang w:val="en-US" w:eastAsia="zh-CN"/>
              </w:rPr>
              <w:t>建设情况与环评基本一致，暂存产品包括</w:t>
            </w:r>
            <w:r>
              <w:rPr>
                <w:rFonts w:hint="default" w:ascii="Times New Roman" w:hAnsi="Times New Roman" w:cs="Times New Roman"/>
                <w:color w:val="auto"/>
                <w:sz w:val="21"/>
                <w:szCs w:val="21"/>
                <w:highlight w:val="none"/>
                <w:lang w:val="en-US" w:eastAsia="zh-CN"/>
              </w:rPr>
              <w:t>路基垫层</w:t>
            </w:r>
            <w:r>
              <w:rPr>
                <w:rFonts w:hint="eastAsia" w:ascii="Times New Roman" w:hAnsi="Times New Roman" w:cs="Times New Roman"/>
                <w:color w:val="auto"/>
                <w:sz w:val="21"/>
                <w:szCs w:val="21"/>
                <w:highlight w:val="none"/>
                <w:lang w:val="en-US" w:eastAsia="zh-CN"/>
              </w:rPr>
              <w:t>和机制砂。</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成品堆场</w:t>
            </w:r>
            <w:r>
              <w:rPr>
                <w:rFonts w:hint="eastAsia" w:ascii="Times New Roman" w:hAnsi="Times New Roman" w:cs="Times New Roman"/>
                <w:color w:val="auto"/>
                <w:sz w:val="21"/>
                <w:szCs w:val="21"/>
                <w:highlight w:val="none"/>
                <w:lang w:val="en-US" w:eastAsia="zh-CN"/>
              </w:rPr>
              <w:t>建设情况与环评基本一致，暂存产品新增机制砂品类。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4" w:hRule="atLeast"/>
          <w:jc w:val="center"/>
        </w:trPr>
        <w:tc>
          <w:tcPr>
            <w:tcW w:w="198" w:type="pct"/>
            <w:vMerge w:val="restart"/>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公辅工程</w:t>
            </w: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办公楼</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原有办公楼长40.6m，宽19m，五层，总高约20m，轴线面积3857m</w:t>
            </w:r>
            <w:r>
              <w:rPr>
                <w:rFonts w:hint="default" w:ascii="Times New Roman" w:hAnsi="Times New Roman" w:cs="Times New Roman"/>
                <w:i w:val="0"/>
                <w:color w:val="auto"/>
                <w:kern w:val="0"/>
                <w:sz w:val="21"/>
                <w:szCs w:val="21"/>
                <w:highlight w:val="none"/>
                <w:u w:val="none"/>
                <w:vertAlign w:val="superscript"/>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04"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循环水泵房</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原有循环水泵房：长10.0m、宽5.0m，单层约5.0m，轴线面积50.0m</w:t>
            </w:r>
            <w:r>
              <w:rPr>
                <w:rFonts w:hint="default" w:ascii="Times New Roman" w:hAnsi="Times New Roman" w:cs="Times New Roman"/>
                <w:i w:val="0"/>
                <w:color w:val="auto"/>
                <w:kern w:val="0"/>
                <w:sz w:val="21"/>
                <w:szCs w:val="21"/>
                <w:highlight w:val="none"/>
                <w:u w:val="none"/>
                <w:vertAlign w:val="superscript"/>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；冷却塔2台；循环水池长6.4m、宽3.2m、水池深3.0m。</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18"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生产电气室</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原有生产电气室，长21.14m，宽19.83m，变压器室部分高5.5m，电气室高5.5m，轴线面积419.2m</w:t>
            </w:r>
            <w:r>
              <w:rPr>
                <w:rFonts w:hint="default" w:ascii="Times New Roman" w:hAnsi="Times New Roman" w:cs="Times New Roman"/>
                <w:i w:val="0"/>
                <w:color w:val="auto"/>
                <w:kern w:val="0"/>
                <w:sz w:val="21"/>
                <w:szCs w:val="21"/>
                <w:highlight w:val="none"/>
                <w:u w:val="none"/>
                <w:vertAlign w:val="superscript"/>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04"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供电设施</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从鼎信科技引入电源</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2"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消防设施</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原有消防水池占地面积约60.0m</w:t>
            </w:r>
            <w:r>
              <w:rPr>
                <w:rFonts w:hint="default" w:ascii="Times New Roman" w:hAnsi="Times New Roman" w:cs="Times New Roman"/>
                <w:i w:val="0"/>
                <w:color w:val="auto"/>
                <w:kern w:val="0"/>
                <w:sz w:val="21"/>
                <w:szCs w:val="21"/>
                <w:highlight w:val="none"/>
                <w:u w:val="none"/>
                <w:vertAlign w:val="superscript"/>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，池长11.0m、宽11.0m、水池深3.5m，设置室外消火栓。</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给排水设施</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给水设施：循环冷却水系统、消防给水系统、生产给水系统；</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排水设施：生产排水系统、雨水排水系统。</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4"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机修</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原有机修车间长23.8m，宽16.9m，单层，轴线面积402m</w:t>
            </w:r>
            <w:r>
              <w:rPr>
                <w:rFonts w:hint="default" w:ascii="Times New Roman" w:hAnsi="Times New Roman" w:cs="Times New Roman"/>
                <w:i w:val="0"/>
                <w:color w:val="auto"/>
                <w:kern w:val="0"/>
                <w:sz w:val="21"/>
                <w:szCs w:val="21"/>
                <w:highlight w:val="none"/>
                <w:u w:val="none"/>
                <w:vertAlign w:val="superscript"/>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58"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tcBorders>
              <w:righ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运输工程</w:t>
            </w:r>
          </w:p>
        </w:tc>
        <w:tc>
          <w:tcPr>
            <w:tcW w:w="1694" w:type="pct"/>
            <w:tcBorders>
              <w:left w:val="single" w:color="auto" w:sz="4" w:space="0"/>
            </w:tcBorders>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原料及产品运输均采用后八轮运输车（35～40吨/车）运输。</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restart"/>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环保工程</w:t>
            </w:r>
          </w:p>
        </w:tc>
        <w:tc>
          <w:tcPr>
            <w:tcW w:w="171" w:type="pct"/>
            <w:vMerge w:val="restart"/>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6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生活污水采用地埋式化粪池处理后排入湾坞西污水处理厂统一处理，化粪池设计处理规模29m</w:t>
            </w:r>
            <w:r>
              <w:rPr>
                <w:rFonts w:hint="default" w:ascii="Times New Roman" w:hAnsi="Times New Roman" w:cs="Times New Roman"/>
                <w:i w:val="0"/>
                <w:color w:val="auto"/>
                <w:kern w:val="0"/>
                <w:sz w:val="21"/>
                <w:szCs w:val="21"/>
                <w:highlight w:val="none"/>
                <w:u w:val="none"/>
                <w:vertAlign w:val="superscript"/>
                <w:lang w:val="en-US" w:eastAsia="zh-CN" w:bidi="ar"/>
              </w:rPr>
              <w:t>3</w:t>
            </w:r>
            <w:r>
              <w:rPr>
                <w:rFonts w:hint="default" w:ascii="Times New Roman" w:hAnsi="Times New Roman" w:cs="Times New Roman"/>
                <w:i w:val="0"/>
                <w:color w:val="auto"/>
                <w:kern w:val="0"/>
                <w:sz w:val="21"/>
                <w:szCs w:val="21"/>
                <w:highlight w:val="none"/>
                <w:u w:val="none"/>
                <w:lang w:val="en-US" w:eastAsia="zh-CN" w:bidi="ar"/>
              </w:rPr>
              <w:t>/d。</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6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初期雨污水采用</w:t>
            </w:r>
            <w:r>
              <w:rPr>
                <w:rFonts w:hint="eastAsia"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沉淀+过滤</w:t>
            </w:r>
            <w:r>
              <w:rPr>
                <w:rFonts w:hint="eastAsia"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处理后排入湾坞西污水处理厂统一处理。已建设一座初期雨水池容积为480m</w:t>
            </w:r>
            <w:r>
              <w:rPr>
                <w:rFonts w:hint="default" w:ascii="Times New Roman" w:hAnsi="Times New Roman" w:cs="Times New Roman"/>
                <w:i w:val="0"/>
                <w:color w:val="auto"/>
                <w:kern w:val="0"/>
                <w:sz w:val="21"/>
                <w:szCs w:val="21"/>
                <w:highlight w:val="none"/>
                <w:u w:val="none"/>
                <w:vertAlign w:val="superscript"/>
                <w:lang w:val="en-US" w:eastAsia="zh-CN" w:bidi="ar"/>
              </w:rPr>
              <w:t>3</w:t>
            </w:r>
            <w:r>
              <w:rPr>
                <w:rFonts w:hint="default" w:ascii="Times New Roman" w:hAnsi="Times New Roman" w:cs="Times New Roman"/>
                <w:i w:val="0"/>
                <w:color w:val="auto"/>
                <w:kern w:val="0"/>
                <w:sz w:val="21"/>
                <w:szCs w:val="21"/>
                <w:highlight w:val="none"/>
                <w:u w:val="none"/>
                <w:lang w:val="en-US" w:eastAsia="zh-CN" w:bidi="ar"/>
              </w:rPr>
              <w:t>。</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restart"/>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694" w:type="pct"/>
            <w:noWrap w:val="0"/>
            <w:vAlign w:val="center"/>
          </w:tcPr>
          <w:p>
            <w:pPr>
              <w:pStyle w:val="53"/>
              <w:keepNext w:val="0"/>
              <w:keepLines w:val="0"/>
              <w:pageBreakBefore w:val="0"/>
              <w:widowControl/>
              <w:numPr>
                <w:ilvl w:val="0"/>
                <w:numId w:val="0"/>
              </w:numPr>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有组织废气为破碎、筛分、二次破碎生产过程产生的废气，经各设备集气罩收集后，经布袋除尘处理，由一根20米高排气筒排放。</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（1）因处理原料含水率的变化，</w:t>
            </w:r>
            <w:r>
              <w:rPr>
                <w:rFonts w:hint="default" w:ascii="Times New Roman" w:hAnsi="Times New Roman" w:eastAsia="宋体" w:cs="Times New Roman"/>
                <w:i w:val="0"/>
                <w:color w:val="auto"/>
                <w:kern w:val="0"/>
                <w:sz w:val="21"/>
                <w:szCs w:val="21"/>
                <w:highlight w:val="none"/>
                <w:u w:val="none"/>
                <w:lang w:val="en-US" w:eastAsia="zh-CN" w:bidi="ar"/>
              </w:rPr>
              <w:t>一次破碎和筛分</w:t>
            </w:r>
            <w:r>
              <w:rPr>
                <w:rFonts w:hint="eastAsia" w:ascii="Times New Roman" w:hAnsi="Times New Roman" w:eastAsia="宋体" w:cs="Times New Roman"/>
                <w:i w:val="0"/>
                <w:color w:val="auto"/>
                <w:kern w:val="0"/>
                <w:sz w:val="21"/>
                <w:szCs w:val="21"/>
                <w:highlight w:val="none"/>
                <w:u w:val="none"/>
                <w:lang w:val="en-US" w:eastAsia="zh-CN" w:bidi="ar"/>
              </w:rPr>
              <w:t>产生粉尘含水率较高，易粘结并堵塞布袋除尘器，故</w:t>
            </w:r>
            <w:r>
              <w:rPr>
                <w:rFonts w:hint="default" w:ascii="Times New Roman" w:hAnsi="Times New Roman" w:eastAsia="宋体" w:cs="Times New Roman"/>
                <w:i w:val="0"/>
                <w:color w:val="auto"/>
                <w:kern w:val="0"/>
                <w:sz w:val="21"/>
                <w:szCs w:val="21"/>
                <w:highlight w:val="none"/>
                <w:u w:val="none"/>
                <w:lang w:val="en-US" w:eastAsia="zh-CN" w:bidi="ar"/>
              </w:rPr>
              <w:t>一次破碎和筛分生产过程产生的废气由</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集气罩+布袋除尘+20m排气筒</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变为</w:t>
            </w:r>
            <w:r>
              <w:rPr>
                <w:rFonts w:hint="eastAsia" w:ascii="Times New Roman" w:hAnsi="Times New Roman" w:cs="Times New Roman"/>
                <w:i w:val="0"/>
                <w:color w:val="auto"/>
                <w:kern w:val="0"/>
                <w:sz w:val="21"/>
                <w:szCs w:val="21"/>
                <w:highlight w:val="none"/>
                <w:u w:val="none"/>
                <w:lang w:val="en-US" w:eastAsia="zh-CN" w:bidi="ar"/>
              </w:rPr>
              <w:t>“雾炮抑尘</w:t>
            </w:r>
            <w:r>
              <w:rPr>
                <w:rFonts w:hint="default" w:ascii="Times New Roman" w:hAnsi="Times New Roman" w:eastAsia="宋体" w:cs="Times New Roman"/>
                <w:i w:val="0"/>
                <w:color w:val="auto"/>
                <w:kern w:val="0"/>
                <w:sz w:val="21"/>
                <w:szCs w:val="21"/>
                <w:highlight w:val="none"/>
                <w:u w:val="none"/>
                <w:lang w:val="en-US" w:eastAsia="zh-CN" w:bidi="ar"/>
              </w:rPr>
              <w:t>设施</w:t>
            </w:r>
            <w:r>
              <w:rPr>
                <w:rFonts w:hint="eastAsia"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处理</w:t>
            </w:r>
            <w:r>
              <w:rPr>
                <w:rFonts w:hint="eastAsia" w:ascii="Times New Roman" w:hAnsi="Times New Roman" w:cs="Times New Roman"/>
                <w:i w:val="0"/>
                <w:color w:val="auto"/>
                <w:kern w:val="0"/>
                <w:sz w:val="21"/>
                <w:szCs w:val="21"/>
                <w:highlight w:val="none"/>
                <w:u w:val="none"/>
                <w:lang w:val="en-US" w:eastAsia="zh-CN" w:bidi="ar"/>
              </w:rPr>
              <w:t>（射程分别为60m和80m）</w:t>
            </w:r>
            <w:r>
              <w:rPr>
                <w:rFonts w:hint="default" w:ascii="Times New Roman" w:hAnsi="Times New Roman" w:eastAsia="宋体" w:cs="Times New Roman"/>
                <w:i w:val="0"/>
                <w:color w:val="auto"/>
                <w:kern w:val="0"/>
                <w:sz w:val="21"/>
                <w:szCs w:val="21"/>
                <w:highlight w:val="none"/>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二次破碎生产过程产生的废气，</w:t>
            </w:r>
            <w:r>
              <w:rPr>
                <w:rFonts w:hint="eastAsia" w:cs="Times New Roman"/>
                <w:i w:val="0"/>
                <w:color w:val="auto"/>
                <w:kern w:val="0"/>
                <w:sz w:val="21"/>
                <w:szCs w:val="21"/>
                <w:highlight w:val="none"/>
                <w:u w:val="none"/>
                <w:lang w:val="en-US" w:eastAsia="zh-CN" w:bidi="ar"/>
              </w:rPr>
              <w:t>二次破碎机密闭负压运行，粉尘负压</w:t>
            </w:r>
            <w:r>
              <w:rPr>
                <w:rFonts w:hint="default" w:ascii="Times New Roman" w:hAnsi="Times New Roman" w:eastAsia="宋体" w:cs="Times New Roman"/>
                <w:i w:val="0"/>
                <w:color w:val="auto"/>
                <w:kern w:val="0"/>
                <w:sz w:val="21"/>
                <w:szCs w:val="21"/>
                <w:highlight w:val="none"/>
                <w:u w:val="none"/>
                <w:lang w:val="en-US" w:eastAsia="zh-CN" w:bidi="ar"/>
              </w:rPr>
              <w:t>收集后，采用布袋除尘处理，由一根20米高排气筒排放</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一次破碎和筛分废气由有组织排放变为无组织排放</w:t>
            </w:r>
            <w:r>
              <w:rPr>
                <w:rFonts w:hint="eastAsia" w:ascii="Times New Roman" w:hAnsi="Times New Roman" w:cs="Times New Roman"/>
                <w:i w:val="0"/>
                <w:color w:val="auto"/>
                <w:kern w:val="0"/>
                <w:sz w:val="21"/>
                <w:szCs w:val="21"/>
                <w:highlight w:val="none"/>
                <w:u w:val="none"/>
                <w:lang w:val="en-US" w:eastAsia="zh-CN" w:bidi="ar"/>
              </w:rPr>
              <w:t>，经《项目变动环境影响补充说明》核算及专家评审，项目无组织粉尘排放量增加0.1t/a（环评时项目无组织粉尘排放量1.66t/a），变动导致项目无组织排放量增加6%，低于10%</w:t>
            </w:r>
            <w:r>
              <w:rPr>
                <w:rFonts w:hint="eastAsia"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6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皮带输送粉尘：采用密闭皮带输送机输送方式，皮带输送过程采用喷雾抑尘；</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6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原料卸车及产品装车粉尘：在装卸车过程采用喷雾抑尘；运输过程使用车载篷布遮盖；</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6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生产过程无组织粉尘：</w:t>
            </w:r>
            <w:r>
              <w:rPr>
                <w:rFonts w:hint="eastAsia" w:cs="Times New Roman"/>
                <w:i w:val="0"/>
                <w:color w:val="auto"/>
                <w:kern w:val="0"/>
                <w:sz w:val="21"/>
                <w:szCs w:val="21"/>
                <w:highlight w:val="none"/>
                <w:u w:val="none"/>
                <w:lang w:val="en-US" w:eastAsia="zh-CN" w:bidi="ar"/>
              </w:rPr>
              <w:t>车间封闭，</w:t>
            </w:r>
            <w:r>
              <w:rPr>
                <w:rFonts w:hint="default" w:ascii="Times New Roman" w:hAnsi="Times New Roman" w:cs="Times New Roman"/>
                <w:i w:val="0"/>
                <w:color w:val="auto"/>
                <w:kern w:val="0"/>
                <w:sz w:val="21"/>
                <w:szCs w:val="21"/>
                <w:highlight w:val="none"/>
                <w:u w:val="none"/>
                <w:lang w:val="en-US" w:eastAsia="zh-CN" w:bidi="ar"/>
              </w:rPr>
              <w:t>喷雾抑尘；</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694" w:type="pct"/>
            <w:noWrap w:val="0"/>
            <w:vAlign w:val="center"/>
          </w:tcPr>
          <w:p>
            <w:pPr>
              <w:pStyle w:val="16"/>
              <w:keepNext w:val="0"/>
              <w:keepLines w:val="0"/>
              <w:pageBreakBefore w:val="0"/>
              <w:widowControl w:val="0"/>
              <w:kinsoku/>
              <w:wordWrap/>
              <w:overflowPunct/>
              <w:topLinePunct w:val="0"/>
              <w:autoSpaceDE/>
              <w:autoSpaceDN/>
              <w:bidi w:val="0"/>
              <w:adjustRightInd w:val="0"/>
              <w:snapToGrid/>
              <w:spacing w:before="0" w:beforeAutospacing="0" w:after="0" w:line="240" w:lineRule="auto"/>
              <w:ind w:left="0" w:leftChars="0" w:right="0" w:rightChars="0" w:firstLine="0" w:firstLineChars="0"/>
              <w:jc w:val="both"/>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堆场粉尘：区域四周设置围挡，采取喷雾抑尘。</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171" w:type="pct"/>
            <w:vMerge w:val="restart"/>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694" w:type="pct"/>
            <w:noWrap w:val="0"/>
            <w:vAlign w:val="center"/>
          </w:tcPr>
          <w:p>
            <w:pPr>
              <w:keepNext w:val="0"/>
              <w:keepLines w:val="0"/>
              <w:pageBreakBefore w:val="0"/>
              <w:widowControl/>
              <w:suppressLineNumbers w:val="0"/>
              <w:kinsoku/>
              <w:wordWrap/>
              <w:overflowPunct/>
              <w:topLinePunct w:val="0"/>
              <w:bidi w:val="0"/>
              <w:jc w:val="left"/>
              <w:outlineLvl w:val="9"/>
              <w:rPr>
                <w:rFonts w:hint="default" w:ascii="Times New Roman" w:hAnsi="Times New Roman" w:cs="Times New Roman"/>
                <w:color w:val="auto"/>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生活垃圾经环卫部门统一收集处理。</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6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除尘灰作为一般固废</w:t>
            </w:r>
            <w:r>
              <w:rPr>
                <w:rFonts w:hint="default" w:ascii="Times New Roman" w:hAnsi="Times New Roman" w:cs="Times New Roman"/>
                <w:i w:val="0"/>
                <w:color w:val="auto"/>
                <w:kern w:val="0"/>
                <w:sz w:val="21"/>
                <w:szCs w:val="21"/>
                <w:highlight w:val="none"/>
                <w:u w:val="none"/>
                <w:lang w:val="en-US" w:eastAsia="zh-CN" w:bidi="ar"/>
              </w:rPr>
              <w:t>，回用于公司矿渣微粉生产线</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71" w:type="pct"/>
            <w:vMerge w:val="continue"/>
            <w:noWrap w:val="0"/>
            <w:tcMar>
              <w:left w:w="0" w:type="dxa"/>
              <w:right w:w="0" w:type="dxa"/>
            </w:tcMar>
            <w:vAlign w:val="center"/>
          </w:tcPr>
          <w:p>
            <w:pPr>
              <w:pStyle w:val="43"/>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color w:val="auto"/>
                <w:sz w:val="21"/>
                <w:szCs w:val="21"/>
                <w:highlight w:val="none"/>
              </w:rPr>
            </w:pPr>
          </w:p>
        </w:tc>
        <w:tc>
          <w:tcPr>
            <w:tcW w:w="16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原废机油产生量为0.5t/a，暂存公司危险废物暂存间，占地面积24m</w:t>
            </w:r>
            <w:r>
              <w:rPr>
                <w:rFonts w:hint="default" w:ascii="Times New Roman" w:hAnsi="Times New Roman" w:cs="Times New Roman"/>
                <w:i w:val="0"/>
                <w:color w:val="auto"/>
                <w:kern w:val="0"/>
                <w:sz w:val="21"/>
                <w:szCs w:val="21"/>
                <w:highlight w:val="none"/>
                <w:u w:val="none"/>
                <w:vertAlign w:val="superscript"/>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。本项目废机油产生量为0.5t/a，暂存于公司原有危险废物暂存间，统一委托有资质单位处置。</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eastAsia="宋体" w:cs="Times New Roman"/>
                <w:color w:val="auto"/>
                <w:kern w:val="2"/>
                <w:sz w:val="21"/>
                <w:szCs w:val="24"/>
                <w:highlight w:val="none"/>
                <w:u w:val="none"/>
                <w:lang w:val="en-US" w:eastAsia="zh-CN" w:bidi="ar-SA"/>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98" w:type="pct"/>
            <w:noWrap w:val="0"/>
            <w:tcMar>
              <w:left w:w="0" w:type="dxa"/>
              <w:right w:w="0" w:type="dxa"/>
            </w:tcMar>
            <w:vAlign w:val="center"/>
          </w:tcPr>
          <w:p>
            <w:pPr>
              <w:pStyle w:val="16"/>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0"/>
                <w:sz w:val="21"/>
                <w:szCs w:val="21"/>
                <w:highlight w:val="none"/>
                <w:lang w:val="en-US" w:eastAsia="zh-CN"/>
              </w:rPr>
              <w:t>环境风险防范措施</w:t>
            </w:r>
          </w:p>
        </w:tc>
        <w:tc>
          <w:tcPr>
            <w:tcW w:w="171" w:type="pct"/>
            <w:noWrap w:val="0"/>
            <w:tcMar>
              <w:left w:w="0" w:type="dxa"/>
              <w:right w:w="0" w:type="dxa"/>
            </w:tcMar>
            <w:vAlign w:val="center"/>
          </w:tcPr>
          <w:p>
            <w:pPr>
              <w:pStyle w:val="16"/>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事故废水</w:t>
            </w:r>
          </w:p>
        </w:tc>
        <w:tc>
          <w:tcPr>
            <w:tcW w:w="1694" w:type="pct"/>
            <w:noWrap w:val="0"/>
            <w:vAlign w:val="center"/>
          </w:tcPr>
          <w:p>
            <w:pPr>
              <w:pStyle w:val="53"/>
              <w:keepNext w:val="0"/>
              <w:keepLines w:val="0"/>
              <w:pageBreakBefore w:val="0"/>
              <w:widowControl/>
              <w:kinsoku/>
              <w:wordWrap/>
              <w:overflowPunct/>
              <w:topLinePunct w:val="0"/>
              <w:autoSpaceDE/>
              <w:autoSpaceDN/>
              <w:bidi w:val="0"/>
              <w:adjustRightInd w:val="0"/>
              <w:snapToGrid/>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在厂区南侧已建成</w:t>
            </w:r>
            <w:r>
              <w:rPr>
                <w:rFonts w:hint="default" w:ascii="Times New Roman" w:hAnsi="Times New Roman" w:cs="Times New Roman"/>
                <w:i w:val="0"/>
                <w:color w:val="auto"/>
                <w:kern w:val="0"/>
                <w:sz w:val="21"/>
                <w:szCs w:val="21"/>
                <w:highlight w:val="none"/>
                <w:u w:val="none"/>
                <w:lang w:val="en-US" w:eastAsia="zh-CN" w:bidi="ar"/>
              </w:rPr>
              <w:t>容积为400m</w:t>
            </w:r>
            <w:r>
              <w:rPr>
                <w:rFonts w:hint="default" w:ascii="Times New Roman" w:hAnsi="Times New Roman" w:cs="Times New Roman"/>
                <w:i w:val="0"/>
                <w:color w:val="auto"/>
                <w:kern w:val="0"/>
                <w:sz w:val="21"/>
                <w:szCs w:val="21"/>
                <w:highlight w:val="none"/>
                <w:u w:val="none"/>
                <w:vertAlign w:val="superscript"/>
                <w:lang w:val="en-US" w:eastAsia="zh-CN" w:bidi="ar"/>
              </w:rPr>
              <w:t>3</w:t>
            </w:r>
            <w:r>
              <w:rPr>
                <w:rFonts w:hint="default" w:ascii="Times New Roman" w:hAnsi="Times New Roman" w:cs="Times New Roman"/>
                <w:i w:val="0"/>
                <w:color w:val="auto"/>
                <w:kern w:val="0"/>
                <w:sz w:val="21"/>
                <w:szCs w:val="21"/>
                <w:highlight w:val="none"/>
                <w:u w:val="none"/>
                <w:lang w:val="en-US" w:eastAsia="zh-CN" w:bidi="ar"/>
              </w:rPr>
              <w:t>的事故应急池；</w:t>
            </w:r>
          </w:p>
        </w:tc>
        <w:tc>
          <w:tcPr>
            <w:tcW w:w="1780"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15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bl>
    <w:p>
      <w:pPr>
        <w:pStyle w:val="25"/>
        <w:rPr>
          <w:rFonts w:hint="default" w:ascii="Times New Roman" w:hAnsi="Times New Roman" w:cs="Times New Roman"/>
          <w:color w:val="auto"/>
          <w:highlight w:val="none"/>
          <w:lang w:val="en-US" w:eastAsia="zh-CN"/>
        </w:rPr>
        <w:sectPr>
          <w:footerReference r:id="rId4" w:type="default"/>
          <w:pgSz w:w="16838" w:h="11906" w:orient="landscape"/>
          <w:pgMar w:top="1417" w:right="1417" w:bottom="1417" w:left="1417" w:header="851" w:footer="992" w:gutter="0"/>
          <w:pgNumType w:fmt="decimal"/>
          <w:cols w:space="720" w:num="1"/>
          <w:rtlGutter w:val="0"/>
          <w:docGrid w:type="lines" w:linePitch="318" w:charSpace="0"/>
        </w:sectPr>
      </w:pPr>
    </w:p>
    <w:p>
      <w:pPr>
        <w:pStyle w:val="25"/>
        <w:rPr>
          <w:rFonts w:hint="default" w:ascii="Times New Roman" w:hAnsi="Times New Roman" w:cs="Times New Roman"/>
          <w:color w:val="auto"/>
          <w:highlight w:val="none"/>
          <w:lang w:val="en-US" w:eastAsia="zh-CN"/>
        </w:rPr>
        <w:sectPr>
          <w:type w:val="continuous"/>
          <w:pgSz w:w="16838" w:h="11906" w:orient="landscape"/>
          <w:pgMar w:top="1417" w:right="1417" w:bottom="1417" w:left="1417" w:header="851" w:footer="992" w:gutter="0"/>
          <w:pgNumType w:fmt="decimal"/>
          <w:cols w:space="720" w:num="1"/>
          <w:rtlGutter w:val="0"/>
          <w:docGrid w:type="lines" w:linePitch="318"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0" w:hRule="atLeast"/>
          <w:jc w:val="center"/>
        </w:trPr>
        <w:tc>
          <w:tcPr>
            <w:tcW w:w="9288" w:type="dxa"/>
            <w:noWrap w:val="0"/>
            <w:vAlign w:val="top"/>
          </w:tcPr>
          <w:p>
            <w:pPr>
              <w:pStyle w:val="6"/>
              <w:keepNext/>
              <w:keepLines w:val="0"/>
              <w:pageBreakBefore w:val="0"/>
              <w:widowControl w:val="0"/>
              <w:kinsoku/>
              <w:wordWrap/>
              <w:overflowPunct/>
              <w:topLinePunct w:val="0"/>
              <w:autoSpaceDE/>
              <w:autoSpaceDN/>
              <w:bidi w:val="0"/>
              <w:adjustRightInd/>
              <w:snapToGrid/>
              <w:spacing w:before="160" w:beforeLines="50" w:after="160" w:afterLines="50" w:line="240" w:lineRule="auto"/>
              <w:textAlignment w:val="auto"/>
              <w:rPr>
                <w:rFonts w:hint="default" w:ascii="Times New Roman" w:hAnsi="Times New Roman" w:cs="Times New Roman"/>
                <w:color w:val="auto"/>
                <w:highlight w:val="none"/>
                <w:lang w:val="en-US" w:eastAsia="zh-CN"/>
              </w:rPr>
            </w:pPr>
            <w:bookmarkStart w:id="13" w:name="_Toc17832"/>
            <w:r>
              <w:rPr>
                <w:rFonts w:hint="default" w:ascii="Times New Roman" w:hAnsi="Times New Roman" w:cs="Times New Roman"/>
                <w:color w:val="auto"/>
                <w:highlight w:val="none"/>
                <w:lang w:val="en-US" w:eastAsia="zh-CN"/>
              </w:rPr>
              <w:t>2.2主要生产设备</w:t>
            </w:r>
            <w:bookmarkEnd w:id="13"/>
          </w:p>
          <w:p>
            <w:pPr>
              <w:pStyle w:val="38"/>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项目取消搅拌工序，取消1台螺旋搅拌机，其余主体设备与环评时基本一致。</w:t>
            </w:r>
            <w:r>
              <w:rPr>
                <w:rFonts w:hint="default" w:ascii="Times New Roman" w:hAnsi="Times New Roman" w:cs="Times New Roman"/>
                <w:color w:val="auto"/>
                <w:sz w:val="24"/>
                <w:szCs w:val="24"/>
                <w:highlight w:val="none"/>
                <w:lang w:eastAsia="zh-CN"/>
              </w:rPr>
              <w:t>项目主要生产设备见表</w:t>
            </w:r>
            <w:r>
              <w:rPr>
                <w:rFonts w:hint="default" w:ascii="Times New Roman" w:hAnsi="Times New Roman" w:cs="Times New Roman"/>
                <w:color w:val="auto"/>
                <w:sz w:val="24"/>
                <w:szCs w:val="24"/>
                <w:highlight w:val="none"/>
                <w:lang w:val="en-US" w:eastAsia="zh-CN"/>
              </w:rPr>
              <w:t>2.2-1。</w:t>
            </w: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highlight w:val="none"/>
                <w:lang w:val="en-US" w:eastAsia="zh-CN"/>
              </w:rPr>
            </w:pPr>
            <w:r>
              <w:rPr>
                <w:rFonts w:hint="default" w:ascii="Times New Roman" w:hAnsi="Times New Roman" w:cs="宋体"/>
                <w:color w:val="auto"/>
                <w:highlight w:val="none"/>
                <w:lang w:val="en-US" w:eastAsia="zh-CN"/>
              </w:rPr>
              <w:t>表2.2-1  项目主要设备一览表</w:t>
            </w:r>
            <w:r>
              <w:rPr>
                <w:rFonts w:hint="eastAsia" w:cs="宋体"/>
                <w:color w:val="auto"/>
                <w:highlight w:val="none"/>
                <w:lang w:val="en-US" w:eastAsia="zh-CN"/>
              </w:rPr>
              <w:t>（</w:t>
            </w:r>
            <w:r>
              <w:rPr>
                <w:rFonts w:hint="eastAsia" w:cs="宋体"/>
                <w:color w:val="1919FF"/>
                <w:highlight w:val="none"/>
                <w:lang w:val="en-US" w:eastAsia="zh-CN"/>
              </w:rPr>
              <w:t>***涉密删除***</w:t>
            </w:r>
            <w:r>
              <w:rPr>
                <w:rFonts w:hint="eastAsia" w:cs="宋体"/>
                <w:color w:val="auto"/>
                <w:highlight w:val="none"/>
                <w:lang w:val="en-US" w:eastAsia="zh-CN"/>
              </w:rPr>
              <w:t>）</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321"/>
              <w:gridCol w:w="1413"/>
              <w:gridCol w:w="1413"/>
              <w:gridCol w:w="1413"/>
              <w:gridCol w:w="1417"/>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9" w:type="pct"/>
                  <w:vMerge w:val="restart"/>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r>
                    <w:rPr>
                      <w:rFonts w:hint="default" w:ascii="Times New Roman" w:hAnsi="Times New Roman" w:cs="Times New Roman"/>
                      <w:color w:val="auto"/>
                      <w:kern w:val="2"/>
                      <w:sz w:val="21"/>
                      <w:szCs w:val="21"/>
                      <w:highlight w:val="none"/>
                      <w:lang w:val="zh-CN"/>
                    </w:rPr>
                    <w:t>序号</w:t>
                  </w:r>
                </w:p>
              </w:tc>
              <w:tc>
                <w:tcPr>
                  <w:tcW w:w="729" w:type="pct"/>
                  <w:vMerge w:val="restart"/>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r>
                    <w:rPr>
                      <w:rFonts w:hint="default" w:ascii="Times New Roman" w:hAnsi="Times New Roman" w:cs="Times New Roman"/>
                      <w:color w:val="auto"/>
                      <w:kern w:val="2"/>
                      <w:sz w:val="21"/>
                      <w:szCs w:val="21"/>
                      <w:highlight w:val="none"/>
                      <w:lang w:val="zh-CN"/>
                    </w:rPr>
                    <w:t>设备名称</w:t>
                  </w:r>
                </w:p>
              </w:tc>
              <w:tc>
                <w:tcPr>
                  <w:tcW w:w="1560" w:type="pct"/>
                  <w:gridSpan w:val="2"/>
                  <w:noWrap w:val="0"/>
                  <w:vAlign w:val="center"/>
                </w:tcPr>
                <w:p>
                  <w:pPr>
                    <w:pageBreakBefore w:val="0"/>
                    <w:widowControl w:val="0"/>
                    <w:tabs>
                      <w:tab w:val="left" w:pos="0"/>
                    </w:tabs>
                    <w:kinsoku/>
                    <w:overflowPunct/>
                    <w:autoSpaceDE w:val="0"/>
                    <w:autoSpaceDN w:val="0"/>
                    <w:bidi w:val="0"/>
                    <w:adjustRightInd w:val="0"/>
                    <w:snapToGrid w:val="0"/>
                    <w:jc w:val="center"/>
                    <w:rPr>
                      <w:rFonts w:hint="eastAsia"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环评时</w:t>
                  </w:r>
                </w:p>
              </w:tc>
              <w:tc>
                <w:tcPr>
                  <w:tcW w:w="1562" w:type="pct"/>
                  <w:gridSpan w:val="2"/>
                  <w:noWrap w:val="0"/>
                  <w:vAlign w:val="center"/>
                </w:tcPr>
                <w:p>
                  <w:pPr>
                    <w:pageBreakBefore w:val="0"/>
                    <w:widowControl w:val="0"/>
                    <w:tabs>
                      <w:tab w:val="left" w:pos="0"/>
                    </w:tabs>
                    <w:kinsoku/>
                    <w:overflowPunct/>
                    <w:autoSpaceDE w:val="0"/>
                    <w:autoSpaceDN w:val="0"/>
                    <w:bidi w:val="0"/>
                    <w:adjustRightInd w:val="0"/>
                    <w:snapToGrid w:val="0"/>
                    <w:jc w:val="center"/>
                    <w:rPr>
                      <w:rFonts w:hint="eastAsia"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验收时</w:t>
                  </w:r>
                </w:p>
              </w:tc>
              <w:tc>
                <w:tcPr>
                  <w:tcW w:w="858" w:type="pct"/>
                  <w:vMerge w:val="restart"/>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r>
                    <w:rPr>
                      <w:rFonts w:hint="default" w:ascii="Times New Roman" w:hAnsi="Times New Roman" w:cs="Times New Roman"/>
                      <w:color w:val="auto"/>
                      <w:kern w:val="0"/>
                      <w:sz w:val="21"/>
                      <w:szCs w:val="21"/>
                      <w:highlight w:val="none"/>
                      <w:lang w:eastAsia="zh-CN" w:bidi="ar"/>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9" w:type="pct"/>
                  <w:vMerge w:val="continue"/>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p>
              </w:tc>
              <w:tc>
                <w:tcPr>
                  <w:tcW w:w="729" w:type="pct"/>
                  <w:vMerge w:val="continue"/>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p>
              </w:tc>
              <w:tc>
                <w:tcPr>
                  <w:tcW w:w="780" w:type="pct"/>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r>
                    <w:rPr>
                      <w:rFonts w:hint="default" w:ascii="Times New Roman" w:hAnsi="Times New Roman" w:cs="Times New Roman"/>
                      <w:color w:val="auto"/>
                      <w:kern w:val="2"/>
                      <w:sz w:val="21"/>
                      <w:szCs w:val="21"/>
                      <w:highlight w:val="none"/>
                      <w:lang w:val="zh-CN"/>
                    </w:rPr>
                    <w:t>型号</w:t>
                  </w:r>
                </w:p>
              </w:tc>
              <w:tc>
                <w:tcPr>
                  <w:tcW w:w="780" w:type="pct"/>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r>
                    <w:rPr>
                      <w:rFonts w:hint="default" w:ascii="Times New Roman" w:hAnsi="Times New Roman" w:cs="Times New Roman"/>
                      <w:color w:val="auto"/>
                      <w:kern w:val="0"/>
                      <w:sz w:val="21"/>
                      <w:szCs w:val="21"/>
                      <w:highlight w:val="none"/>
                      <w:lang w:bidi="ar"/>
                    </w:rPr>
                    <w:t>数量</w:t>
                  </w:r>
                  <w:r>
                    <w:rPr>
                      <w:rFonts w:hint="default" w:ascii="Times New Roman" w:hAnsi="Times New Roman" w:cs="Times New Roman"/>
                      <w:color w:val="auto"/>
                      <w:kern w:val="0"/>
                      <w:sz w:val="21"/>
                      <w:szCs w:val="21"/>
                      <w:highlight w:val="none"/>
                      <w:lang w:eastAsia="zh-CN" w:bidi="ar"/>
                    </w:rPr>
                    <w:t>（台</w:t>
                  </w:r>
                  <w:r>
                    <w:rPr>
                      <w:rFonts w:hint="default" w:ascii="Times New Roman" w:hAnsi="Times New Roman" w:cs="Times New Roman"/>
                      <w:color w:val="auto"/>
                      <w:kern w:val="0"/>
                      <w:sz w:val="21"/>
                      <w:szCs w:val="21"/>
                      <w:highlight w:val="none"/>
                      <w:lang w:val="en-US" w:eastAsia="zh-CN" w:bidi="ar"/>
                    </w:rPr>
                    <w:t>/套</w:t>
                  </w:r>
                  <w:r>
                    <w:rPr>
                      <w:rFonts w:hint="default" w:ascii="Times New Roman" w:hAnsi="Times New Roman" w:cs="Times New Roman"/>
                      <w:color w:val="auto"/>
                      <w:kern w:val="0"/>
                      <w:sz w:val="21"/>
                      <w:szCs w:val="21"/>
                      <w:highlight w:val="none"/>
                      <w:lang w:eastAsia="zh-CN" w:bidi="ar"/>
                    </w:rPr>
                    <w:t>）</w:t>
                  </w:r>
                </w:p>
              </w:tc>
              <w:tc>
                <w:tcPr>
                  <w:tcW w:w="780" w:type="pct"/>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r>
                    <w:rPr>
                      <w:rFonts w:hint="default" w:ascii="Times New Roman" w:hAnsi="Times New Roman" w:cs="Times New Roman"/>
                      <w:color w:val="auto"/>
                      <w:kern w:val="2"/>
                      <w:sz w:val="21"/>
                      <w:szCs w:val="21"/>
                      <w:highlight w:val="none"/>
                      <w:lang w:val="zh-CN"/>
                    </w:rPr>
                    <w:t>型号</w:t>
                  </w:r>
                </w:p>
              </w:tc>
              <w:tc>
                <w:tcPr>
                  <w:tcW w:w="782" w:type="pct"/>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r>
                    <w:rPr>
                      <w:rFonts w:hint="default" w:ascii="Times New Roman" w:hAnsi="Times New Roman" w:cs="Times New Roman"/>
                      <w:color w:val="auto"/>
                      <w:kern w:val="0"/>
                      <w:sz w:val="21"/>
                      <w:szCs w:val="21"/>
                      <w:highlight w:val="none"/>
                      <w:lang w:bidi="ar"/>
                    </w:rPr>
                    <w:t>数量</w:t>
                  </w:r>
                  <w:r>
                    <w:rPr>
                      <w:rFonts w:hint="default" w:ascii="Times New Roman" w:hAnsi="Times New Roman" w:cs="Times New Roman"/>
                      <w:color w:val="auto"/>
                      <w:kern w:val="0"/>
                      <w:sz w:val="21"/>
                      <w:szCs w:val="21"/>
                      <w:highlight w:val="none"/>
                      <w:lang w:eastAsia="zh-CN" w:bidi="ar"/>
                    </w:rPr>
                    <w:t>（台</w:t>
                  </w:r>
                  <w:r>
                    <w:rPr>
                      <w:rFonts w:hint="default" w:ascii="Times New Roman" w:hAnsi="Times New Roman" w:cs="Times New Roman"/>
                      <w:color w:val="auto"/>
                      <w:kern w:val="0"/>
                      <w:sz w:val="21"/>
                      <w:szCs w:val="21"/>
                      <w:highlight w:val="none"/>
                      <w:lang w:val="en-US" w:eastAsia="zh-CN" w:bidi="ar"/>
                    </w:rPr>
                    <w:t>/套</w:t>
                  </w:r>
                  <w:r>
                    <w:rPr>
                      <w:rFonts w:hint="default" w:ascii="Times New Roman" w:hAnsi="Times New Roman" w:cs="Times New Roman"/>
                      <w:color w:val="auto"/>
                      <w:kern w:val="0"/>
                      <w:sz w:val="21"/>
                      <w:szCs w:val="21"/>
                      <w:highlight w:val="none"/>
                      <w:lang w:eastAsia="zh-CN" w:bidi="ar"/>
                    </w:rPr>
                    <w:t>）</w:t>
                  </w:r>
                </w:p>
              </w:tc>
              <w:tc>
                <w:tcPr>
                  <w:tcW w:w="858" w:type="pct"/>
                  <w:vMerge w:val="continue"/>
                  <w:noWrap w:val="0"/>
                  <w:vAlign w:val="center"/>
                </w:tcPr>
                <w:p>
                  <w:pPr>
                    <w:pageBreakBefore w:val="0"/>
                    <w:widowControl w:val="0"/>
                    <w:tabs>
                      <w:tab w:val="left" w:pos="0"/>
                    </w:tabs>
                    <w:kinsoku/>
                    <w:overflowPunct/>
                    <w:autoSpaceDE w:val="0"/>
                    <w:autoSpaceDN w:val="0"/>
                    <w:bidi w:val="0"/>
                    <w:adjustRightInd w:val="0"/>
                    <w:snapToGrid w:val="0"/>
                    <w:jc w:val="center"/>
                    <w:rPr>
                      <w:rFonts w:hint="default" w:ascii="Times New Roman" w:hAnsi="Times New Roman" w:cs="Times New Roman"/>
                      <w:color w:val="auto"/>
                      <w:kern w:val="2"/>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ageBreakBefore w:val="0"/>
                    <w:widowControl w:val="0"/>
                    <w:tabs>
                      <w:tab w:val="left" w:pos="0"/>
                    </w:tabs>
                    <w:kinsoku/>
                    <w:overflowPunct/>
                    <w:autoSpaceDE w:val="0"/>
                    <w:autoSpaceDN w:val="0"/>
                    <w:bidi w:val="0"/>
                    <w:adjustRightInd w:val="0"/>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w:t>
                  </w:r>
                </w:p>
              </w:tc>
              <w:tc>
                <w:tcPr>
                  <w:tcW w:w="729" w:type="pct"/>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780" w:type="pct"/>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780" w:type="pct"/>
                  <w:noWrap w:val="0"/>
                  <w:vAlign w:val="center"/>
                </w:tcPr>
                <w:p>
                  <w:pPr>
                    <w:spacing w:line="240" w:lineRule="exact"/>
                    <w:jc w:val="center"/>
                    <w:rPr>
                      <w:rFonts w:hint="default" w:ascii="Times New Roman" w:hAnsi="Times New Roman" w:cs="Times New Roman"/>
                      <w:color w:val="auto"/>
                      <w:sz w:val="21"/>
                      <w:szCs w:val="21"/>
                      <w:highlight w:val="none"/>
                      <w:lang w:val="en-US" w:eastAsia="zh-CN"/>
                    </w:rPr>
                  </w:pPr>
                </w:p>
              </w:tc>
              <w:tc>
                <w:tcPr>
                  <w:tcW w:w="780" w:type="pct"/>
                  <w:noWrap w:val="0"/>
                  <w:vAlign w:val="center"/>
                </w:tcPr>
                <w:p>
                  <w:pPr>
                    <w:spacing w:line="240" w:lineRule="exact"/>
                    <w:jc w:val="center"/>
                    <w:rPr>
                      <w:rFonts w:hint="eastAsia" w:cs="Times New Roman"/>
                      <w:color w:val="auto"/>
                      <w:sz w:val="21"/>
                      <w:szCs w:val="21"/>
                      <w:highlight w:val="none"/>
                      <w:lang w:val="en-US" w:eastAsia="zh-CN"/>
                    </w:rPr>
                  </w:pPr>
                </w:p>
              </w:tc>
              <w:tc>
                <w:tcPr>
                  <w:tcW w:w="782" w:type="pct"/>
                  <w:noWrap w:val="0"/>
                  <w:vAlign w:val="center"/>
                </w:tcPr>
                <w:p>
                  <w:pPr>
                    <w:spacing w:line="240" w:lineRule="exact"/>
                    <w:jc w:val="center"/>
                    <w:rPr>
                      <w:rFonts w:hint="eastAsia" w:cs="Times New Roman"/>
                      <w:color w:val="auto"/>
                      <w:sz w:val="21"/>
                      <w:szCs w:val="21"/>
                      <w:highlight w:val="none"/>
                      <w:lang w:val="en-US" w:eastAsia="zh-CN"/>
                    </w:rPr>
                  </w:pPr>
                </w:p>
              </w:tc>
              <w:tc>
                <w:tcPr>
                  <w:tcW w:w="858" w:type="pct"/>
                  <w:noWrap w:val="0"/>
                  <w:vAlign w:val="center"/>
                </w:tcPr>
                <w:p>
                  <w:pPr>
                    <w:pageBreakBefore w:val="0"/>
                    <w:widowControl w:val="0"/>
                    <w:kinsoku/>
                    <w:overflowPunct/>
                    <w:bidi w:val="0"/>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ageBreakBefore w:val="0"/>
                    <w:widowControl w:val="0"/>
                    <w:tabs>
                      <w:tab w:val="left" w:pos="0"/>
                    </w:tabs>
                    <w:kinsoku/>
                    <w:overflowPunct/>
                    <w:autoSpaceDE w:val="0"/>
                    <w:autoSpaceDN w:val="0"/>
                    <w:bidi w:val="0"/>
                    <w:adjustRightInd w:val="0"/>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w:t>
                  </w:r>
                </w:p>
              </w:tc>
              <w:tc>
                <w:tcPr>
                  <w:tcW w:w="729" w:type="pct"/>
                  <w:noWrap w:val="0"/>
                  <w:vAlign w:val="center"/>
                </w:tcPr>
                <w:p>
                  <w:pPr>
                    <w:spacing w:line="240" w:lineRule="exact"/>
                    <w:jc w:val="center"/>
                    <w:rPr>
                      <w:rFonts w:hint="eastAsia" w:eastAsia="宋体" w:cs="Times New Roman"/>
                      <w:color w:val="auto"/>
                      <w:sz w:val="21"/>
                      <w:szCs w:val="21"/>
                      <w:highlight w:val="none"/>
                      <w:lang w:val="en-US" w:eastAsia="zh-CN"/>
                    </w:rPr>
                  </w:pPr>
                </w:p>
              </w:tc>
              <w:tc>
                <w:tcPr>
                  <w:tcW w:w="780" w:type="pct"/>
                  <w:noWrap w:val="0"/>
                  <w:vAlign w:val="center"/>
                </w:tcPr>
                <w:p>
                  <w:pPr>
                    <w:spacing w:line="240" w:lineRule="exact"/>
                    <w:jc w:val="center"/>
                    <w:rPr>
                      <w:rFonts w:hint="eastAsia" w:ascii="Times New Roman" w:hAnsi="Times New Roman" w:eastAsia="宋体" w:cs="Times New Roman"/>
                      <w:color w:val="auto"/>
                      <w:sz w:val="21"/>
                      <w:szCs w:val="21"/>
                      <w:highlight w:val="none"/>
                      <w:lang w:val="en-US" w:eastAsia="zh-CN"/>
                    </w:rPr>
                  </w:pPr>
                </w:p>
              </w:tc>
              <w:tc>
                <w:tcPr>
                  <w:tcW w:w="780" w:type="pct"/>
                  <w:noWrap w:val="0"/>
                  <w:vAlign w:val="center"/>
                </w:tcPr>
                <w:p>
                  <w:pPr>
                    <w:spacing w:line="240" w:lineRule="exact"/>
                    <w:jc w:val="center"/>
                    <w:rPr>
                      <w:rFonts w:hint="default" w:ascii="Times New Roman" w:hAnsi="Times New Roman" w:cs="Times New Roman"/>
                      <w:color w:val="auto"/>
                      <w:sz w:val="21"/>
                      <w:szCs w:val="21"/>
                      <w:highlight w:val="none"/>
                      <w:lang w:val="en-US" w:eastAsia="zh-CN"/>
                    </w:rPr>
                  </w:pPr>
                </w:p>
              </w:tc>
              <w:tc>
                <w:tcPr>
                  <w:tcW w:w="780" w:type="pct"/>
                  <w:noWrap w:val="0"/>
                  <w:vAlign w:val="center"/>
                </w:tcPr>
                <w:p>
                  <w:pPr>
                    <w:spacing w:line="240" w:lineRule="exact"/>
                    <w:jc w:val="center"/>
                    <w:rPr>
                      <w:rFonts w:hint="eastAsia" w:cs="Times New Roman"/>
                      <w:color w:val="auto"/>
                      <w:sz w:val="21"/>
                      <w:szCs w:val="21"/>
                      <w:highlight w:val="none"/>
                      <w:lang w:val="en-US" w:eastAsia="zh-CN"/>
                    </w:rPr>
                  </w:pPr>
                </w:p>
              </w:tc>
              <w:tc>
                <w:tcPr>
                  <w:tcW w:w="782" w:type="pct"/>
                  <w:noWrap w:val="0"/>
                  <w:vAlign w:val="center"/>
                </w:tcPr>
                <w:p>
                  <w:pPr>
                    <w:spacing w:line="240" w:lineRule="exact"/>
                    <w:jc w:val="center"/>
                    <w:rPr>
                      <w:rFonts w:hint="eastAsia" w:cs="Times New Roman"/>
                      <w:color w:val="auto"/>
                      <w:sz w:val="21"/>
                      <w:szCs w:val="21"/>
                      <w:highlight w:val="none"/>
                      <w:lang w:val="en-US" w:eastAsia="zh-CN"/>
                    </w:rPr>
                  </w:pPr>
                </w:p>
              </w:tc>
              <w:tc>
                <w:tcPr>
                  <w:tcW w:w="858" w:type="pct"/>
                  <w:noWrap w:val="0"/>
                  <w:vAlign w:val="center"/>
                </w:tcPr>
                <w:p>
                  <w:pPr>
                    <w:pageBreakBefore w:val="0"/>
                    <w:widowControl w:val="0"/>
                    <w:kinsoku/>
                    <w:overflowPunct/>
                    <w:bidi w:val="0"/>
                    <w:adjustRightInd w:val="0"/>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ageBreakBefore w:val="0"/>
                    <w:widowControl w:val="0"/>
                    <w:tabs>
                      <w:tab w:val="left" w:pos="0"/>
                    </w:tabs>
                    <w:kinsoku/>
                    <w:overflowPunct/>
                    <w:autoSpaceDE w:val="0"/>
                    <w:autoSpaceDN w:val="0"/>
                    <w:bidi w:val="0"/>
                    <w:adjustRightInd w:val="0"/>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w:t>
                  </w:r>
                </w:p>
              </w:tc>
              <w:tc>
                <w:tcPr>
                  <w:tcW w:w="729" w:type="pct"/>
                  <w:noWrap w:val="0"/>
                  <w:vAlign w:val="center"/>
                </w:tcPr>
                <w:p>
                  <w:pPr>
                    <w:spacing w:line="240" w:lineRule="exact"/>
                    <w:jc w:val="center"/>
                    <w:rPr>
                      <w:rFonts w:hint="default" w:ascii="Times New Roman" w:hAnsi="Times New Roman" w:eastAsia="宋体" w:cs="Times New Roman"/>
                      <w:color w:val="auto"/>
                      <w:sz w:val="21"/>
                      <w:szCs w:val="21"/>
                      <w:highlight w:val="none"/>
                      <w:lang w:eastAsia="zh-CN"/>
                    </w:rPr>
                  </w:pPr>
                </w:p>
              </w:tc>
              <w:tc>
                <w:tcPr>
                  <w:tcW w:w="780" w:type="pct"/>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p>
              </w:tc>
              <w:tc>
                <w:tcPr>
                  <w:tcW w:w="780" w:type="pct"/>
                  <w:noWrap w:val="0"/>
                  <w:vAlign w:val="center"/>
                </w:tcPr>
                <w:p>
                  <w:pPr>
                    <w:spacing w:line="240" w:lineRule="exact"/>
                    <w:jc w:val="center"/>
                    <w:rPr>
                      <w:rFonts w:hint="default" w:ascii="Times New Roman" w:hAnsi="Times New Roman" w:eastAsia="宋体" w:cs="Times New Roman"/>
                      <w:color w:val="auto"/>
                      <w:sz w:val="21"/>
                      <w:szCs w:val="21"/>
                      <w:highlight w:val="none"/>
                      <w:lang w:eastAsia="zh-CN"/>
                    </w:rPr>
                  </w:pPr>
                </w:p>
              </w:tc>
              <w:tc>
                <w:tcPr>
                  <w:tcW w:w="780" w:type="pct"/>
                  <w:noWrap w:val="0"/>
                  <w:vAlign w:val="center"/>
                </w:tcPr>
                <w:p>
                  <w:pPr>
                    <w:spacing w:line="240" w:lineRule="exact"/>
                    <w:jc w:val="center"/>
                    <w:rPr>
                      <w:rFonts w:hint="eastAsia" w:ascii="Times New Roman" w:hAnsi="Times New Roman" w:cs="Times New Roman"/>
                      <w:color w:val="auto"/>
                      <w:sz w:val="21"/>
                      <w:szCs w:val="21"/>
                      <w:highlight w:val="none"/>
                      <w:lang w:val="en-US" w:eastAsia="zh-CN"/>
                    </w:rPr>
                  </w:pPr>
                </w:p>
              </w:tc>
              <w:tc>
                <w:tcPr>
                  <w:tcW w:w="782" w:type="pct"/>
                  <w:noWrap w:val="0"/>
                  <w:vAlign w:val="center"/>
                </w:tcPr>
                <w:p>
                  <w:pPr>
                    <w:spacing w:line="240" w:lineRule="exact"/>
                    <w:jc w:val="center"/>
                    <w:rPr>
                      <w:rFonts w:hint="eastAsia" w:ascii="Times New Roman" w:hAnsi="Times New Roman" w:cs="Times New Roman"/>
                      <w:color w:val="auto"/>
                      <w:sz w:val="21"/>
                      <w:szCs w:val="21"/>
                      <w:highlight w:val="none"/>
                      <w:lang w:val="en-US" w:eastAsia="zh-CN"/>
                    </w:rPr>
                  </w:pPr>
                </w:p>
              </w:tc>
              <w:tc>
                <w:tcPr>
                  <w:tcW w:w="858" w:type="pct"/>
                  <w:noWrap w:val="0"/>
                  <w:vAlign w:val="center"/>
                </w:tcPr>
                <w:p>
                  <w:pPr>
                    <w:pageBreakBefore w:val="0"/>
                    <w:widowControl w:val="0"/>
                    <w:kinsoku/>
                    <w:overflowPunct/>
                    <w:bidi w:val="0"/>
                    <w:adjustRightInd w:val="0"/>
                    <w:snapToGrid w:val="0"/>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ageBreakBefore w:val="0"/>
                    <w:widowControl w:val="0"/>
                    <w:tabs>
                      <w:tab w:val="left" w:pos="0"/>
                    </w:tabs>
                    <w:kinsoku/>
                    <w:overflowPunct/>
                    <w:autoSpaceDE w:val="0"/>
                    <w:autoSpaceDN w:val="0"/>
                    <w:bidi w:val="0"/>
                    <w:adjustRightInd w:val="0"/>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w:t>
                  </w:r>
                </w:p>
              </w:tc>
              <w:tc>
                <w:tcPr>
                  <w:tcW w:w="729" w:type="pct"/>
                  <w:noWrap w:val="0"/>
                  <w:vAlign w:val="center"/>
                </w:tcPr>
                <w:p>
                  <w:pPr>
                    <w:spacing w:line="240" w:lineRule="exact"/>
                    <w:jc w:val="center"/>
                    <w:rPr>
                      <w:rFonts w:hint="eastAsia" w:ascii="Times New Roman" w:hAnsi="Times New Roman" w:eastAsia="宋体" w:cs="Times New Roman"/>
                      <w:color w:val="auto"/>
                      <w:sz w:val="21"/>
                      <w:szCs w:val="21"/>
                      <w:highlight w:val="none"/>
                      <w:lang w:val="en-US" w:eastAsia="zh-CN"/>
                    </w:rPr>
                  </w:pPr>
                </w:p>
              </w:tc>
              <w:tc>
                <w:tcPr>
                  <w:tcW w:w="780" w:type="pct"/>
                  <w:noWrap w:val="0"/>
                  <w:vAlign w:val="center"/>
                </w:tcPr>
                <w:p>
                  <w:pPr>
                    <w:spacing w:line="240" w:lineRule="exact"/>
                    <w:jc w:val="center"/>
                    <w:rPr>
                      <w:rFonts w:hint="eastAsia" w:cs="Times New Roman"/>
                      <w:color w:val="auto"/>
                      <w:sz w:val="21"/>
                      <w:szCs w:val="21"/>
                      <w:highlight w:val="none"/>
                      <w:lang w:val="en-US" w:eastAsia="zh-CN"/>
                    </w:rPr>
                  </w:pPr>
                </w:p>
              </w:tc>
              <w:tc>
                <w:tcPr>
                  <w:tcW w:w="780" w:type="pct"/>
                  <w:noWrap w:val="0"/>
                  <w:vAlign w:val="center"/>
                </w:tcPr>
                <w:p>
                  <w:pPr>
                    <w:spacing w:line="240" w:lineRule="exact"/>
                    <w:jc w:val="center"/>
                    <w:rPr>
                      <w:rFonts w:hint="eastAsia" w:ascii="Times New Roman" w:hAnsi="Times New Roman" w:cs="Times New Roman"/>
                      <w:color w:val="auto"/>
                      <w:sz w:val="21"/>
                      <w:szCs w:val="21"/>
                      <w:highlight w:val="none"/>
                      <w:lang w:val="en-US" w:eastAsia="zh-CN"/>
                    </w:rPr>
                  </w:pPr>
                </w:p>
              </w:tc>
              <w:tc>
                <w:tcPr>
                  <w:tcW w:w="780" w:type="pct"/>
                  <w:noWrap w:val="0"/>
                  <w:vAlign w:val="center"/>
                </w:tcPr>
                <w:p>
                  <w:pPr>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82" w:type="pct"/>
                  <w:noWrap w:val="0"/>
                  <w:vAlign w:val="center"/>
                </w:tcPr>
                <w:p>
                  <w:pPr>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取消搅拌工序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noWrap w:val="0"/>
                  <w:vAlign w:val="center"/>
                </w:tcPr>
                <w:p>
                  <w:pPr>
                    <w:pageBreakBefore w:val="0"/>
                    <w:widowControl w:val="0"/>
                    <w:tabs>
                      <w:tab w:val="left" w:pos="0"/>
                    </w:tabs>
                    <w:kinsoku/>
                    <w:overflowPunct/>
                    <w:autoSpaceDE w:val="0"/>
                    <w:autoSpaceDN w:val="0"/>
                    <w:bidi w:val="0"/>
                    <w:adjustRightInd w:val="0"/>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w:t>
                  </w:r>
                </w:p>
              </w:tc>
              <w:tc>
                <w:tcPr>
                  <w:tcW w:w="729" w:type="pct"/>
                  <w:noWrap w:val="0"/>
                  <w:vAlign w:val="center"/>
                </w:tcPr>
                <w:p>
                  <w:pPr>
                    <w:spacing w:line="240" w:lineRule="exact"/>
                    <w:jc w:val="center"/>
                    <w:rPr>
                      <w:rFonts w:hint="eastAsia" w:ascii="Times New Roman" w:hAnsi="Times New Roman" w:eastAsia="宋体" w:cs="Times New Roman"/>
                      <w:color w:val="auto"/>
                      <w:sz w:val="21"/>
                      <w:szCs w:val="21"/>
                      <w:highlight w:val="none"/>
                      <w:lang w:val="en-US" w:eastAsia="zh-CN"/>
                    </w:rPr>
                  </w:pPr>
                </w:p>
              </w:tc>
              <w:tc>
                <w:tcPr>
                  <w:tcW w:w="780" w:type="pct"/>
                  <w:noWrap w:val="0"/>
                  <w:vAlign w:val="center"/>
                </w:tcPr>
                <w:p>
                  <w:pPr>
                    <w:spacing w:line="240" w:lineRule="exact"/>
                    <w:jc w:val="center"/>
                    <w:rPr>
                      <w:rFonts w:hint="default" w:cs="Times New Roman"/>
                      <w:color w:val="auto"/>
                      <w:sz w:val="21"/>
                      <w:szCs w:val="21"/>
                      <w:highlight w:val="none"/>
                      <w:lang w:val="en-US" w:eastAsia="zh-CN"/>
                    </w:rPr>
                  </w:pPr>
                </w:p>
              </w:tc>
              <w:tc>
                <w:tcPr>
                  <w:tcW w:w="780" w:type="pct"/>
                  <w:noWrap w:val="0"/>
                  <w:vAlign w:val="center"/>
                </w:tcPr>
                <w:p>
                  <w:pPr>
                    <w:spacing w:line="240" w:lineRule="exact"/>
                    <w:jc w:val="center"/>
                    <w:rPr>
                      <w:rFonts w:hint="eastAsia" w:ascii="Times New Roman" w:hAnsi="Times New Roman" w:cs="Times New Roman"/>
                      <w:color w:val="auto"/>
                      <w:sz w:val="21"/>
                      <w:szCs w:val="21"/>
                      <w:highlight w:val="none"/>
                      <w:lang w:val="en-US" w:eastAsia="zh-CN"/>
                    </w:rPr>
                  </w:pPr>
                </w:p>
              </w:tc>
              <w:tc>
                <w:tcPr>
                  <w:tcW w:w="780" w:type="pct"/>
                  <w:noWrap w:val="0"/>
                  <w:vAlign w:val="center"/>
                </w:tcPr>
                <w:p>
                  <w:pPr>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82" w:type="pct"/>
                  <w:noWrap w:val="0"/>
                  <w:vAlign w:val="center"/>
                </w:tcPr>
                <w:p>
                  <w:pPr>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不变</w:t>
                  </w:r>
                </w:p>
              </w:tc>
            </w:tr>
          </w:tbl>
          <w:p>
            <w:pPr>
              <w:pStyle w:val="6"/>
              <w:keepNext/>
              <w:keepLines w:val="0"/>
              <w:pageBreakBefore w:val="0"/>
              <w:widowControl w:val="0"/>
              <w:kinsoku/>
              <w:wordWrap/>
              <w:overflowPunct/>
              <w:topLinePunct w:val="0"/>
              <w:autoSpaceDE/>
              <w:autoSpaceDN/>
              <w:bidi w:val="0"/>
              <w:adjustRightInd/>
              <w:snapToGrid/>
              <w:spacing w:before="160" w:beforeLines="50" w:after="160" w:afterLines="50" w:line="240" w:lineRule="auto"/>
              <w:textAlignment w:val="auto"/>
              <w:rPr>
                <w:rFonts w:hint="default" w:ascii="Times New Roman" w:hAnsi="Times New Roman" w:cs="Times New Roman"/>
                <w:color w:val="auto"/>
                <w:highlight w:val="none"/>
                <w:lang w:val="en-US" w:eastAsia="zh-CN"/>
              </w:rPr>
            </w:pPr>
            <w:bookmarkStart w:id="14" w:name="_Toc23995"/>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总平布置</w:t>
            </w:r>
            <w:bookmarkEnd w:id="14"/>
          </w:p>
          <w:p>
            <w:pPr>
              <w:pStyle w:val="38"/>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项目建设范围未超出现有厂房，总平布置变化均在现有厂房内进行局部调整，具体如下。</w:t>
            </w:r>
          </w:p>
          <w:p>
            <w:pPr>
              <w:pStyle w:val="38"/>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（1）环评时总平布置</w:t>
            </w:r>
          </w:p>
          <w:p>
            <w:pPr>
              <w:pStyle w:val="38"/>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项目建设于现有厂房内，地面已水泥硬化，在厂房</w:t>
            </w:r>
            <w:r>
              <w:rPr>
                <w:rFonts w:hint="eastAsia" w:ascii="Times New Roman" w:hAnsi="Times New Roman"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lang w:val="en-US" w:eastAsia="zh-CN"/>
              </w:rPr>
              <w:t>西北侧划出</w:t>
            </w:r>
            <w:r>
              <w:rPr>
                <w:rFonts w:hint="eastAsia" w:ascii="Times New Roman" w:hAnsi="Times New Roman" w:cs="Times New Roman"/>
                <w:color w:val="auto"/>
                <w:sz w:val="24"/>
                <w:szCs w:val="24"/>
                <w:highlight w:val="none"/>
                <w:lang w:val="en-US" w:eastAsia="zh-CN"/>
              </w:rPr>
              <w:t>2720m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en-US" w:eastAsia="zh-CN"/>
              </w:rPr>
              <w:t>作为钢渣综合利用项目车间，</w:t>
            </w:r>
            <w:r>
              <w:rPr>
                <w:rFonts w:hint="eastAsia" w:ascii="Times New Roman" w:hAnsi="Times New Roman" w:cs="Times New Roman"/>
                <w:color w:val="auto"/>
                <w:sz w:val="24"/>
                <w:szCs w:val="24"/>
                <w:highlight w:val="none"/>
                <w:lang w:val="en-US" w:eastAsia="zh-CN"/>
              </w:rPr>
              <w:t>布</w:t>
            </w:r>
            <w:r>
              <w:rPr>
                <w:rFonts w:hint="default" w:ascii="Times New Roman" w:hAnsi="Times New Roman" w:eastAsia="宋体" w:cs="Times New Roman"/>
                <w:color w:val="auto"/>
                <w:sz w:val="24"/>
                <w:szCs w:val="24"/>
                <w:highlight w:val="none"/>
                <w:lang w:val="en-US" w:eastAsia="zh-CN"/>
              </w:rPr>
              <w:t>设2台破碎机、1台筛分机、1台搅拌机及辅助设施，</w:t>
            </w:r>
            <w:r>
              <w:rPr>
                <w:rFonts w:hint="eastAsia" w:ascii="Times New Roman" w:hAnsi="Times New Roman" w:cs="Times New Roman"/>
                <w:color w:val="auto"/>
                <w:sz w:val="24"/>
                <w:szCs w:val="24"/>
                <w:highlight w:val="none"/>
                <w:lang w:val="en-US" w:eastAsia="zh-CN"/>
              </w:rPr>
              <w:t>西北侧设1个</w:t>
            </w:r>
            <w:r>
              <w:rPr>
                <w:rFonts w:hint="default" w:ascii="Times New Roman" w:hAnsi="Times New Roman" w:eastAsia="宋体" w:cs="Times New Roman"/>
                <w:color w:val="auto"/>
                <w:sz w:val="24"/>
                <w:szCs w:val="24"/>
                <w:highlight w:val="none"/>
                <w:lang w:val="en-US" w:eastAsia="zh-CN"/>
              </w:rPr>
              <w:t>原料临时堆场（300m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东南侧设1个</w:t>
            </w:r>
            <w:r>
              <w:rPr>
                <w:rFonts w:hint="default" w:ascii="Times New Roman" w:hAnsi="Times New Roman" w:eastAsia="宋体" w:cs="Times New Roman"/>
                <w:color w:val="auto"/>
                <w:sz w:val="24"/>
                <w:szCs w:val="24"/>
                <w:highlight w:val="none"/>
                <w:lang w:val="en-US" w:eastAsia="zh-CN"/>
              </w:rPr>
              <w:t>路基垫层堆料场（1000m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环评时</w:t>
            </w:r>
            <w:r>
              <w:rPr>
                <w:rFonts w:hint="default" w:ascii="Times New Roman" w:hAnsi="Times New Roman" w:eastAsia="宋体" w:cs="Times New Roman"/>
                <w:color w:val="auto"/>
                <w:sz w:val="24"/>
                <w:szCs w:val="24"/>
                <w:highlight w:val="none"/>
                <w:lang w:val="en-US" w:eastAsia="zh-CN"/>
              </w:rPr>
              <w:t>总平</w:t>
            </w:r>
            <w:r>
              <w:rPr>
                <w:rFonts w:hint="eastAsia" w:ascii="Times New Roman" w:hAnsi="Times New Roman" w:cs="Times New Roman"/>
                <w:color w:val="auto"/>
                <w:sz w:val="24"/>
                <w:szCs w:val="24"/>
                <w:highlight w:val="none"/>
                <w:lang w:val="en-US" w:eastAsia="zh-CN"/>
              </w:rPr>
              <w:t>布置</w:t>
            </w:r>
            <w:r>
              <w:rPr>
                <w:rFonts w:hint="default" w:ascii="Times New Roman" w:hAnsi="Times New Roman" w:eastAsia="宋体" w:cs="Times New Roman"/>
                <w:color w:val="auto"/>
                <w:sz w:val="24"/>
                <w:szCs w:val="24"/>
                <w:highlight w:val="none"/>
                <w:lang w:val="en-US" w:eastAsia="zh-CN"/>
              </w:rPr>
              <w:t>见</w:t>
            </w:r>
            <w:r>
              <w:rPr>
                <w:rFonts w:hint="eastAsia" w:ascii="Times New Roman" w:hAnsi="Times New Roman" w:cs="Times New Roman"/>
                <w:color w:val="auto"/>
                <w:sz w:val="24"/>
                <w:szCs w:val="24"/>
                <w:highlight w:val="none"/>
                <w:lang w:val="en-US" w:eastAsia="zh-CN"/>
              </w:rPr>
              <w:t>附图3</w:t>
            </w:r>
            <w:r>
              <w:rPr>
                <w:rFonts w:hint="default" w:ascii="Times New Roman" w:hAnsi="Times New Roman" w:eastAsia="宋体" w:cs="Times New Roman"/>
                <w:color w:val="auto"/>
                <w:sz w:val="24"/>
                <w:szCs w:val="24"/>
                <w:highlight w:val="none"/>
                <w:lang w:val="en-US" w:eastAsia="zh-CN"/>
              </w:rPr>
              <w:t>。</w:t>
            </w:r>
          </w:p>
          <w:p>
            <w:pPr>
              <w:pStyle w:val="38"/>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（2）验收时总平布置</w:t>
            </w:r>
          </w:p>
          <w:p>
            <w:pPr>
              <w:pStyle w:val="38"/>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在厂房</w:t>
            </w:r>
            <w:r>
              <w:rPr>
                <w:rFonts w:hint="eastAsia" w:ascii="Times New Roman" w:hAnsi="Times New Roman"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lang w:val="en-US" w:eastAsia="zh-CN"/>
              </w:rPr>
              <w:t>西北侧划出</w:t>
            </w:r>
            <w:r>
              <w:rPr>
                <w:rFonts w:hint="eastAsia" w:ascii="Times New Roman" w:hAnsi="Times New Roman" w:cs="Times New Roman"/>
                <w:color w:val="auto"/>
                <w:sz w:val="24"/>
                <w:szCs w:val="24"/>
                <w:highlight w:val="none"/>
                <w:lang w:val="en-US" w:eastAsia="zh-CN"/>
              </w:rPr>
              <w:t>2720m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区域、东侧划出900m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en-US" w:eastAsia="zh-CN"/>
              </w:rPr>
              <w:t>作为钢渣综合利用项目车间，</w:t>
            </w:r>
            <w:r>
              <w:rPr>
                <w:rFonts w:hint="eastAsia" w:ascii="Times New Roman" w:hAnsi="Times New Roman" w:cs="Times New Roman"/>
                <w:color w:val="auto"/>
                <w:sz w:val="24"/>
                <w:szCs w:val="24"/>
                <w:highlight w:val="none"/>
                <w:lang w:val="en-US" w:eastAsia="zh-CN"/>
              </w:rPr>
              <w:t>布</w:t>
            </w:r>
            <w:r>
              <w:rPr>
                <w:rFonts w:hint="default" w:ascii="Times New Roman" w:hAnsi="Times New Roman" w:eastAsia="宋体" w:cs="Times New Roman"/>
                <w:color w:val="auto"/>
                <w:sz w:val="24"/>
                <w:szCs w:val="24"/>
                <w:highlight w:val="none"/>
                <w:lang w:val="en-US" w:eastAsia="zh-CN"/>
              </w:rPr>
              <w:t>设2台破碎机、1台筛分机及辅助设施，300m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原料临时堆场</w:t>
            </w:r>
            <w:r>
              <w:rPr>
                <w:rFonts w:hint="eastAsia" w:ascii="Times New Roman" w:hAnsi="Times New Roman" w:eastAsia="宋体" w:cs="Times New Roman"/>
                <w:color w:val="auto"/>
                <w:sz w:val="24"/>
                <w:szCs w:val="24"/>
                <w:highlight w:val="none"/>
                <w:lang w:val="en-US" w:eastAsia="zh-CN"/>
              </w:rPr>
              <w:t>由西北侧调整至中部并兼做上料区</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筛分机下方增设1个100m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中间料堆场，</w:t>
            </w:r>
            <w:r>
              <w:rPr>
                <w:rFonts w:hint="default" w:ascii="Times New Roman" w:hAnsi="Times New Roman" w:eastAsia="宋体" w:cs="Times New Roman"/>
                <w:color w:val="auto"/>
                <w:sz w:val="24"/>
                <w:szCs w:val="24"/>
                <w:highlight w:val="none"/>
                <w:lang w:val="en-US" w:eastAsia="zh-CN"/>
              </w:rPr>
              <w:t>1000m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产品堆场基本不变</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排气筒由厂房西北侧变动至东南侧，</w:t>
            </w:r>
            <w:r>
              <w:rPr>
                <w:rFonts w:hint="eastAsia" w:cs="Times New Roman"/>
                <w:color w:val="auto"/>
                <w:sz w:val="24"/>
                <w:szCs w:val="24"/>
                <w:highlight w:val="none"/>
                <w:lang w:val="en-US" w:eastAsia="zh-CN"/>
              </w:rPr>
              <w:t>验收</w:t>
            </w:r>
            <w:r>
              <w:rPr>
                <w:rFonts w:hint="eastAsia" w:ascii="Times New Roman" w:hAnsi="Times New Roman" w:cs="Times New Roman"/>
                <w:color w:val="auto"/>
                <w:sz w:val="24"/>
                <w:szCs w:val="24"/>
                <w:highlight w:val="none"/>
                <w:lang w:val="en-US" w:eastAsia="zh-CN"/>
              </w:rPr>
              <w:t>时</w:t>
            </w:r>
            <w:r>
              <w:rPr>
                <w:rFonts w:hint="default" w:ascii="Times New Roman" w:hAnsi="Times New Roman" w:eastAsia="宋体" w:cs="Times New Roman"/>
                <w:color w:val="auto"/>
                <w:sz w:val="24"/>
                <w:szCs w:val="24"/>
                <w:highlight w:val="none"/>
                <w:lang w:val="en-US" w:eastAsia="zh-CN"/>
              </w:rPr>
              <w:t>总平</w:t>
            </w:r>
            <w:r>
              <w:rPr>
                <w:rFonts w:hint="eastAsia" w:ascii="Times New Roman" w:hAnsi="Times New Roman" w:cs="Times New Roman"/>
                <w:color w:val="auto"/>
                <w:sz w:val="24"/>
                <w:szCs w:val="24"/>
                <w:highlight w:val="none"/>
                <w:lang w:val="en-US" w:eastAsia="zh-CN"/>
              </w:rPr>
              <w:t>布置</w:t>
            </w:r>
            <w:r>
              <w:rPr>
                <w:rFonts w:hint="default" w:ascii="Times New Roman" w:hAnsi="Times New Roman" w:eastAsia="宋体" w:cs="Times New Roman"/>
                <w:color w:val="auto"/>
                <w:sz w:val="24"/>
                <w:szCs w:val="24"/>
                <w:highlight w:val="none"/>
                <w:lang w:val="en-US" w:eastAsia="zh-CN"/>
              </w:rPr>
              <w:t>见</w:t>
            </w:r>
            <w:r>
              <w:rPr>
                <w:rFonts w:hint="eastAsia" w:ascii="Times New Roman" w:hAnsi="Times New Roman" w:cs="Times New Roman"/>
                <w:color w:val="auto"/>
                <w:sz w:val="24"/>
                <w:szCs w:val="24"/>
                <w:highlight w:val="none"/>
                <w:lang w:val="en-US" w:eastAsia="zh-CN"/>
              </w:rPr>
              <w:t>附图4</w:t>
            </w:r>
            <w:r>
              <w:rPr>
                <w:rFonts w:hint="default" w:ascii="Times New Roman" w:hAnsi="Times New Roman" w:eastAsia="宋体" w:cs="Times New Roman"/>
                <w:color w:val="auto"/>
                <w:sz w:val="24"/>
                <w:szCs w:val="24"/>
                <w:highlight w:val="none"/>
                <w:lang w:val="en-US" w:eastAsia="zh-CN"/>
              </w:rPr>
              <w:t>。</w:t>
            </w:r>
          </w:p>
          <w:p>
            <w:pPr>
              <w:pStyle w:val="38"/>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（3）总平布置变化情况</w:t>
            </w:r>
          </w:p>
          <w:p>
            <w:pPr>
              <w:pStyle w:val="38"/>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项目总平布置变化没有导致环境防护距离范围变化且新增敏感点，不属于重大变动，总平布置变化详见表2.3-1。</w:t>
            </w:r>
          </w:p>
          <w:p>
            <w:pPr>
              <w:pStyle w:val="38"/>
              <w:ind w:firstLine="480" w:firstLineChars="200"/>
              <w:rPr>
                <w:rFonts w:hint="default" w:ascii="Times New Roman" w:hAnsi="Times New Roman" w:eastAsia="宋体" w:cs="Times New Roman"/>
                <w:color w:val="auto"/>
                <w:sz w:val="24"/>
                <w:szCs w:val="24"/>
                <w:highlight w:val="none"/>
                <w:lang w:val="en-US" w:eastAsia="zh-CN"/>
              </w:rPr>
            </w:pPr>
          </w:p>
          <w:p>
            <w:pPr>
              <w:pStyle w:val="38"/>
              <w:ind w:firstLine="480" w:firstLineChars="200"/>
              <w:rPr>
                <w:rFonts w:hint="default" w:ascii="Times New Roman" w:hAnsi="Times New Roman" w:eastAsia="宋体" w:cs="Times New Roman"/>
                <w:color w:val="auto"/>
                <w:sz w:val="24"/>
                <w:szCs w:val="24"/>
                <w:highlight w:val="none"/>
                <w:lang w:val="en-US" w:eastAsia="zh-CN"/>
              </w:rPr>
            </w:pP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highlight w:val="none"/>
                <w:lang w:val="en-US" w:eastAsia="zh-CN"/>
              </w:rPr>
            </w:pPr>
            <w:r>
              <w:rPr>
                <w:rFonts w:hint="default" w:ascii="Times New Roman" w:hAnsi="Times New Roman" w:cs="宋体"/>
                <w:color w:val="auto"/>
                <w:highlight w:val="none"/>
                <w:lang w:val="en-US" w:eastAsia="zh-CN"/>
              </w:rPr>
              <w:t>表2.</w:t>
            </w:r>
            <w:r>
              <w:rPr>
                <w:rFonts w:hint="eastAsia" w:ascii="Times New Roman" w:hAnsi="Times New Roman" w:cs="宋体"/>
                <w:color w:val="auto"/>
                <w:highlight w:val="none"/>
                <w:lang w:val="en-US" w:eastAsia="zh-CN"/>
              </w:rPr>
              <w:t>3</w:t>
            </w:r>
            <w:r>
              <w:rPr>
                <w:rFonts w:hint="default" w:ascii="Times New Roman" w:hAnsi="Times New Roman" w:cs="宋体"/>
                <w:color w:val="auto"/>
                <w:highlight w:val="none"/>
                <w:lang w:val="en-US" w:eastAsia="zh-CN"/>
              </w:rPr>
              <w:t xml:space="preserve">-1  </w:t>
            </w:r>
            <w:r>
              <w:rPr>
                <w:rFonts w:hint="eastAsia" w:ascii="Times New Roman" w:hAnsi="Times New Roman" w:cs="宋体"/>
                <w:color w:val="auto"/>
                <w:highlight w:val="none"/>
                <w:lang w:val="en-US" w:eastAsia="zh-CN"/>
              </w:rPr>
              <w:t>总平布置变化情况一览表</w:t>
            </w:r>
          </w:p>
          <w:tbl>
            <w:tblPr>
              <w:tblStyle w:val="28"/>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391"/>
              <w:gridCol w:w="3407"/>
              <w:gridCol w:w="2"/>
              <w:gridCol w:w="2259"/>
              <w:gridCol w:w="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2" w:type="pct"/>
                <w:cantSplit/>
                <w:trHeight w:val="397" w:hRule="atLeast"/>
                <w:tblHeader/>
                <w:jc w:val="center"/>
              </w:trPr>
              <w:tc>
                <w:tcPr>
                  <w:tcW w:w="1870" w:type="pct"/>
                  <w:tcBorders>
                    <w:left w:val="single" w:color="auto" w:sz="4" w:space="0"/>
                  </w:tcBorders>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环评时</w:t>
                  </w:r>
                  <w:r>
                    <w:rPr>
                      <w:rFonts w:hint="eastAsia" w:ascii="Times New Roman" w:hAnsi="Times New Roman" w:cs="Times New Roman"/>
                      <w:b/>
                      <w:bCs/>
                      <w:color w:val="auto"/>
                      <w:sz w:val="21"/>
                      <w:szCs w:val="21"/>
                      <w:highlight w:val="none"/>
                      <w:lang w:val="en-US" w:eastAsia="zh-CN"/>
                    </w:rPr>
                    <w:t>总平布置</w:t>
                  </w:r>
                </w:p>
              </w:tc>
              <w:tc>
                <w:tcPr>
                  <w:tcW w:w="1879" w:type="pct"/>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eastAsia="zh-CN"/>
                    </w:rPr>
                    <w:t>实际</w:t>
                  </w:r>
                  <w:r>
                    <w:rPr>
                      <w:rFonts w:hint="eastAsia" w:ascii="Times New Roman" w:hAnsi="Times New Roman" w:cs="Times New Roman"/>
                      <w:b/>
                      <w:bCs/>
                      <w:color w:val="auto"/>
                      <w:sz w:val="21"/>
                      <w:szCs w:val="21"/>
                      <w:highlight w:val="none"/>
                      <w:lang w:val="en-US" w:eastAsia="zh-CN"/>
                    </w:rPr>
                    <w:t>总平布置</w:t>
                  </w:r>
                </w:p>
              </w:tc>
              <w:tc>
                <w:tcPr>
                  <w:tcW w:w="1247" w:type="pct"/>
                  <w:gridSpan w:val="2"/>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变化情况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870"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项目在现有1座</w:t>
                  </w:r>
                  <w:r>
                    <w:rPr>
                      <w:rFonts w:hint="default" w:ascii="Times New Roman" w:hAnsi="Times New Roman" w:eastAsia="宋体" w:cs="Times New Roman"/>
                      <w:color w:val="auto"/>
                      <w:kern w:val="0"/>
                      <w:sz w:val="21"/>
                      <w:szCs w:val="21"/>
                      <w:highlight w:val="none"/>
                      <w:lang w:val="en-US" w:eastAsia="zh-CN" w:bidi="ar"/>
                    </w:rPr>
                    <w:t>26568m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厂房内</w:t>
                  </w:r>
                  <w:r>
                    <w:rPr>
                      <w:rFonts w:hint="eastAsia" w:ascii="Times New Roman" w:hAnsi="Times New Roman" w:eastAsia="宋体" w:cs="Times New Roman"/>
                      <w:color w:val="auto"/>
                      <w:sz w:val="21"/>
                      <w:szCs w:val="21"/>
                      <w:highlight w:val="none"/>
                      <w:lang w:val="en-US" w:eastAsia="zh-CN"/>
                    </w:rPr>
                    <w:t>建设，现有厂房地面已水泥硬化。</w:t>
                  </w:r>
                </w:p>
              </w:tc>
              <w:tc>
                <w:tcPr>
                  <w:tcW w:w="1880" w:type="pct"/>
                  <w:gridSpan w:val="2"/>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项目在现有1座</w:t>
                  </w:r>
                  <w:r>
                    <w:rPr>
                      <w:rFonts w:hint="default" w:ascii="Times New Roman" w:hAnsi="Times New Roman" w:eastAsia="宋体" w:cs="Times New Roman"/>
                      <w:color w:val="auto"/>
                      <w:kern w:val="0"/>
                      <w:sz w:val="21"/>
                      <w:szCs w:val="21"/>
                      <w:highlight w:val="none"/>
                      <w:lang w:val="en-US" w:eastAsia="zh-CN" w:bidi="ar"/>
                    </w:rPr>
                    <w:t>26568m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厂房内</w:t>
                  </w:r>
                  <w:r>
                    <w:rPr>
                      <w:rFonts w:hint="eastAsia" w:ascii="Times New Roman" w:hAnsi="Times New Roman" w:eastAsia="宋体" w:cs="Times New Roman"/>
                      <w:color w:val="auto"/>
                      <w:sz w:val="21"/>
                      <w:szCs w:val="21"/>
                      <w:highlight w:val="none"/>
                      <w:lang w:val="en-US" w:eastAsia="zh-CN"/>
                    </w:rPr>
                    <w:t>建设，现有厂房地面已水泥硬化。</w:t>
                  </w:r>
                </w:p>
              </w:tc>
              <w:tc>
                <w:tcPr>
                  <w:tcW w:w="1248" w:type="pct"/>
                  <w:gridSpan w:val="2"/>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870"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在现有厂房内西北侧划出2720m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区域作为钢渣综合利用项目车间。</w:t>
                  </w:r>
                </w:p>
              </w:tc>
              <w:tc>
                <w:tcPr>
                  <w:tcW w:w="1880" w:type="pct"/>
                  <w:gridSpan w:val="2"/>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在</w:t>
                  </w:r>
                  <w:r>
                    <w:rPr>
                      <w:rFonts w:hint="eastAsia" w:cs="Times New Roman"/>
                      <w:color w:val="auto"/>
                      <w:sz w:val="21"/>
                      <w:szCs w:val="21"/>
                      <w:highlight w:val="none"/>
                      <w:lang w:val="en-US" w:eastAsia="zh-CN"/>
                    </w:rPr>
                    <w:t>现有</w:t>
                  </w:r>
                  <w:r>
                    <w:rPr>
                      <w:rFonts w:hint="eastAsia" w:ascii="Times New Roman" w:hAnsi="Times New Roman" w:cs="Times New Roman"/>
                      <w:color w:val="auto"/>
                      <w:sz w:val="21"/>
                      <w:szCs w:val="21"/>
                      <w:highlight w:val="none"/>
                      <w:lang w:val="en-US" w:eastAsia="zh-CN"/>
                    </w:rPr>
                    <w:t>厂房内西北侧划出2720m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区域、东侧划出900m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区域作为钢渣综合利用项目车间，生产、处理规模不变。</w:t>
                  </w:r>
                </w:p>
              </w:tc>
              <w:tc>
                <w:tcPr>
                  <w:tcW w:w="1248" w:type="pct"/>
                  <w:gridSpan w:val="2"/>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现有厂房内增加900m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面积布设生产线，生产、处理规模不变。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870"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布设2台破碎机、1台筛分机、1台搅拌机及辅助设施。</w:t>
                  </w:r>
                </w:p>
              </w:tc>
              <w:tc>
                <w:tcPr>
                  <w:tcW w:w="1880" w:type="pct"/>
                  <w:gridSpan w:val="2"/>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布设2台破碎机、1台筛分机及辅助设施，取消1台搅拌机。</w:t>
                  </w:r>
                </w:p>
              </w:tc>
              <w:tc>
                <w:tcPr>
                  <w:tcW w:w="1248" w:type="pct"/>
                  <w:gridSpan w:val="2"/>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取消1台搅拌机。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870"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原料临时堆场</w:t>
                  </w:r>
                  <w:r>
                    <w:rPr>
                      <w:rFonts w:hint="eastAsia" w:ascii="Times New Roman" w:hAnsi="Times New Roman" w:cs="Times New Roman"/>
                      <w:color w:val="auto"/>
                      <w:sz w:val="21"/>
                      <w:szCs w:val="21"/>
                      <w:highlight w:val="none"/>
                      <w:lang w:val="en-US" w:eastAsia="zh-CN"/>
                    </w:rPr>
                    <w:t>设置1个，位于厂房内</w:t>
                  </w:r>
                  <w:r>
                    <w:rPr>
                      <w:rFonts w:hint="default" w:ascii="Times New Roman" w:hAnsi="Times New Roman" w:cs="Times New Roman"/>
                      <w:color w:val="auto"/>
                      <w:sz w:val="21"/>
                      <w:szCs w:val="21"/>
                      <w:highlight w:val="none"/>
                      <w:lang w:val="en-US" w:eastAsia="zh-CN"/>
                    </w:rPr>
                    <w:t>西北侧</w:t>
                  </w:r>
                  <w:r>
                    <w:rPr>
                      <w:rFonts w:hint="eastAsia" w:ascii="Times New Roman" w:hAnsi="Times New Roman" w:cs="Times New Roman"/>
                      <w:color w:val="auto"/>
                      <w:sz w:val="21"/>
                      <w:szCs w:val="21"/>
                      <w:highlight w:val="none"/>
                      <w:lang w:val="en-US" w:eastAsia="zh-CN"/>
                    </w:rPr>
                    <w:t>，面积</w:t>
                  </w:r>
                  <w:r>
                    <w:rPr>
                      <w:rFonts w:hint="default" w:ascii="Times New Roman" w:hAnsi="Times New Roman" w:cs="Times New Roman"/>
                      <w:color w:val="auto"/>
                      <w:sz w:val="21"/>
                      <w:szCs w:val="21"/>
                      <w:highlight w:val="none"/>
                      <w:lang w:val="en-US" w:eastAsia="zh-CN"/>
                    </w:rPr>
                    <w:t>300m</w:t>
                  </w:r>
                  <w:r>
                    <w:rPr>
                      <w:rFonts w:hint="default"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p>
              </w:tc>
              <w:tc>
                <w:tcPr>
                  <w:tcW w:w="1880" w:type="pct"/>
                  <w:gridSpan w:val="2"/>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原料临时堆场</w:t>
                  </w:r>
                  <w:r>
                    <w:rPr>
                      <w:rFonts w:hint="eastAsia" w:ascii="Times New Roman" w:hAnsi="Times New Roman" w:cs="Times New Roman"/>
                      <w:color w:val="auto"/>
                      <w:sz w:val="21"/>
                      <w:szCs w:val="21"/>
                      <w:highlight w:val="none"/>
                      <w:lang w:val="en-US" w:eastAsia="zh-CN"/>
                    </w:rPr>
                    <w:t>设置1个，位置由厂房内</w:t>
                  </w:r>
                  <w:r>
                    <w:rPr>
                      <w:rFonts w:hint="default" w:ascii="Times New Roman" w:hAnsi="Times New Roman" w:cs="Times New Roman"/>
                      <w:color w:val="auto"/>
                      <w:sz w:val="21"/>
                      <w:szCs w:val="21"/>
                      <w:highlight w:val="none"/>
                      <w:lang w:val="en-US" w:eastAsia="zh-CN"/>
                    </w:rPr>
                    <w:t>西北侧</w:t>
                  </w:r>
                  <w:r>
                    <w:rPr>
                      <w:rFonts w:hint="eastAsia" w:ascii="Times New Roman" w:hAnsi="Times New Roman" w:cs="Times New Roman"/>
                      <w:color w:val="auto"/>
                      <w:sz w:val="21"/>
                      <w:szCs w:val="21"/>
                      <w:highlight w:val="none"/>
                      <w:lang w:val="en-US" w:eastAsia="zh-CN"/>
                    </w:rPr>
                    <w:t>调整至中部并兼做上料区，面积保持</w:t>
                  </w:r>
                  <w:r>
                    <w:rPr>
                      <w:rFonts w:hint="default" w:ascii="Times New Roman" w:hAnsi="Times New Roman" w:cs="Times New Roman"/>
                      <w:color w:val="auto"/>
                      <w:sz w:val="21"/>
                      <w:szCs w:val="21"/>
                      <w:highlight w:val="none"/>
                      <w:lang w:val="en-US" w:eastAsia="zh-CN"/>
                    </w:rPr>
                    <w:t>300m</w:t>
                  </w:r>
                  <w:r>
                    <w:rPr>
                      <w:rFonts w:hint="default"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不变。</w:t>
                  </w:r>
                </w:p>
              </w:tc>
              <w:tc>
                <w:tcPr>
                  <w:tcW w:w="1248" w:type="pct"/>
                  <w:gridSpan w:val="2"/>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原料临时堆场</w:t>
                  </w:r>
                  <w:r>
                    <w:rPr>
                      <w:rFonts w:hint="eastAsia" w:ascii="Times New Roman" w:hAnsi="Times New Roman" w:cs="Times New Roman"/>
                      <w:color w:val="auto"/>
                      <w:sz w:val="21"/>
                      <w:szCs w:val="21"/>
                      <w:highlight w:val="none"/>
                      <w:lang w:val="en-US" w:eastAsia="zh-CN"/>
                    </w:rPr>
                    <w:t>位置在厂房内调整，面积不变。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870"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产品堆场（</w:t>
                  </w:r>
                  <w:r>
                    <w:rPr>
                      <w:rFonts w:hint="default" w:ascii="Times New Roman" w:hAnsi="Times New Roman" w:cs="Times New Roman"/>
                      <w:color w:val="auto"/>
                      <w:sz w:val="21"/>
                      <w:szCs w:val="21"/>
                      <w:highlight w:val="none"/>
                      <w:lang w:val="en-US" w:eastAsia="zh-CN"/>
                    </w:rPr>
                    <w:t>路基垫层堆料场</w:t>
                  </w:r>
                  <w:r>
                    <w:rPr>
                      <w:rFonts w:hint="eastAsia" w:ascii="Times New Roman" w:hAnsi="Times New Roman" w:cs="Times New Roman"/>
                      <w:color w:val="auto"/>
                      <w:sz w:val="21"/>
                      <w:szCs w:val="21"/>
                      <w:highlight w:val="none"/>
                      <w:lang w:val="en-US" w:eastAsia="zh-CN"/>
                    </w:rPr>
                    <w:t>）设置1个，位于厂房内</w:t>
                  </w:r>
                  <w:r>
                    <w:rPr>
                      <w:rFonts w:hint="default" w:ascii="Times New Roman" w:hAnsi="Times New Roman" w:cs="Times New Roman"/>
                      <w:color w:val="auto"/>
                      <w:sz w:val="21"/>
                      <w:szCs w:val="21"/>
                      <w:highlight w:val="none"/>
                      <w:lang w:val="en-US" w:eastAsia="zh-CN"/>
                    </w:rPr>
                    <w:t>东南侧</w:t>
                  </w:r>
                  <w:r>
                    <w:rPr>
                      <w:rFonts w:hint="eastAsia" w:ascii="Times New Roman" w:hAnsi="Times New Roman" w:cs="Times New Roman"/>
                      <w:color w:val="auto"/>
                      <w:sz w:val="21"/>
                      <w:szCs w:val="21"/>
                      <w:highlight w:val="none"/>
                      <w:lang w:val="en-US" w:eastAsia="zh-CN"/>
                    </w:rPr>
                    <w:t>，面积10</w:t>
                  </w:r>
                  <w:r>
                    <w:rPr>
                      <w:rFonts w:hint="default" w:ascii="Times New Roman" w:hAnsi="Times New Roman" w:cs="Times New Roman"/>
                      <w:color w:val="auto"/>
                      <w:sz w:val="21"/>
                      <w:szCs w:val="21"/>
                      <w:highlight w:val="none"/>
                      <w:lang w:val="en-US" w:eastAsia="zh-CN"/>
                    </w:rPr>
                    <w:t>00m</w:t>
                  </w:r>
                  <w:r>
                    <w:rPr>
                      <w:rFonts w:hint="default"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p>
              </w:tc>
              <w:tc>
                <w:tcPr>
                  <w:tcW w:w="1880" w:type="pct"/>
                  <w:gridSpan w:val="2"/>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产品堆场设置1个，位置、面积保持不变，形状略作调整。</w:t>
                  </w:r>
                </w:p>
              </w:tc>
              <w:tc>
                <w:tcPr>
                  <w:tcW w:w="1248" w:type="pct"/>
                  <w:gridSpan w:val="2"/>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产品堆场与环评基本一致。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870"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880" w:type="pct"/>
                  <w:gridSpan w:val="2"/>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厂房内新增中间料堆场1个，面积100m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，储存能力增加7.7%，小于30%，不属重大变动。</w:t>
                  </w:r>
                </w:p>
              </w:tc>
              <w:tc>
                <w:tcPr>
                  <w:tcW w:w="1248" w:type="pct"/>
                  <w:gridSpan w:val="2"/>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厂房内新增中间料堆场1个，面积100m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，储存能力增加7.7%，小于30%，不属重大变动。</w:t>
                  </w:r>
                </w:p>
              </w:tc>
            </w:tr>
          </w:tbl>
          <w:p>
            <w:pPr>
              <w:pStyle w:val="38"/>
              <w:ind w:firstLine="480" w:firstLineChars="200"/>
              <w:rPr>
                <w:rFonts w:hint="eastAsia" w:ascii="Times New Roman" w:hAnsi="Times New Roman" w:cs="Times New Roman"/>
                <w:color w:val="auto"/>
                <w:sz w:val="24"/>
                <w:szCs w:val="24"/>
                <w:highlight w:val="none"/>
                <w:lang w:val="en-US" w:eastAsia="zh-CN"/>
              </w:rPr>
            </w:pPr>
          </w:p>
          <w:p>
            <w:pPr>
              <w:pStyle w:val="6"/>
              <w:pageBreakBefore w:val="0"/>
              <w:widowControl w:val="0"/>
              <w:kinsoku/>
              <w:wordWrap/>
              <w:overflowPunct/>
              <w:topLinePunct w:val="0"/>
              <w:autoSpaceDE/>
              <w:autoSpaceDN/>
              <w:bidi w:val="0"/>
              <w:spacing w:line="360" w:lineRule="auto"/>
              <w:ind w:left="0" w:leftChars="0" w:right="0" w:rightChars="0"/>
              <w:textAlignment w:val="auto"/>
              <w:rPr>
                <w:rFonts w:hint="default" w:ascii="Times New Roman" w:hAnsi="Times New Roman" w:cs="Times New Roman"/>
                <w:color w:val="auto"/>
                <w:highlight w:val="none"/>
              </w:rPr>
            </w:pPr>
            <w:bookmarkStart w:id="15" w:name="_Toc6704"/>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原辅材料消耗及水平衡</w:t>
            </w:r>
            <w:bookmarkEnd w:id="15"/>
          </w:p>
          <w:p>
            <w:pPr>
              <w:pStyle w:val="7"/>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.1水平衡</w:t>
            </w:r>
          </w:p>
          <w:p>
            <w:pPr>
              <w:pStyle w:val="38"/>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本项目职工由现有工程调配，不新增生活污水，与环评一致。</w:t>
            </w:r>
          </w:p>
          <w:p>
            <w:pPr>
              <w:pStyle w:val="38"/>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项目生产用水主要为喷雾降尘用水，由当地自来水管网提供，用水量约为</w:t>
            </w:r>
            <w:r>
              <w:rPr>
                <w:rFonts w:hint="eastAsia" w:ascii="Times New Roman" w:hAnsi="Times New Roman" w:cs="Times New Roman"/>
                <w:color w:val="1919FF"/>
                <w:sz w:val="24"/>
                <w:szCs w:val="24"/>
                <w:highlight w:val="none"/>
                <w:lang w:val="en-US" w:eastAsia="zh-CN"/>
              </w:rPr>
              <w:t>***涉密删除***</w:t>
            </w:r>
            <w:r>
              <w:rPr>
                <w:rFonts w:hint="eastAsia" w:ascii="Times New Roman" w:hAnsi="Times New Roman" w:cs="Times New Roman"/>
                <w:color w:val="auto"/>
                <w:sz w:val="24"/>
                <w:szCs w:val="24"/>
                <w:highlight w:val="none"/>
                <w:lang w:val="en-US" w:eastAsia="zh-CN"/>
              </w:rPr>
              <w:t>，与环评基本一致。</w:t>
            </w:r>
          </w:p>
          <w:p>
            <w:pPr>
              <w:pStyle w:val="38"/>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喷雾降尘水全部蒸发及随物料带走，无生产废水产生，与环评一致。</w:t>
            </w:r>
          </w:p>
          <w:p>
            <w:pPr>
              <w:pStyle w:val="38"/>
              <w:ind w:firstLine="480" w:firstLineChars="200"/>
              <w:rPr>
                <w:rFonts w:hint="eastAsia" w:ascii="Times New Roman" w:hAnsi="Times New Roman" w:cs="Times New Roman"/>
                <w:color w:val="auto"/>
                <w:sz w:val="24"/>
                <w:szCs w:val="24"/>
                <w:highlight w:val="none"/>
                <w:lang w:val="en-US" w:eastAsia="zh-CN"/>
              </w:rPr>
            </w:pPr>
          </w:p>
          <w:p>
            <w:pPr>
              <w:pStyle w:val="38"/>
              <w:ind w:firstLine="480" w:firstLineChars="200"/>
              <w:rPr>
                <w:rFonts w:hint="eastAsia" w:ascii="Times New Roman" w:hAnsi="Times New Roman" w:cs="Times New Roman"/>
                <w:color w:val="auto"/>
                <w:sz w:val="24"/>
                <w:szCs w:val="24"/>
                <w:highlight w:val="none"/>
                <w:lang w:val="en-US" w:eastAsia="zh-CN"/>
              </w:rPr>
            </w:pPr>
          </w:p>
          <w:p>
            <w:pPr>
              <w:pStyle w:val="38"/>
              <w:ind w:firstLine="480" w:firstLineChars="200"/>
              <w:rPr>
                <w:rFonts w:hint="eastAsia" w:ascii="Times New Roman" w:hAnsi="Times New Roman" w:cs="Times New Roman"/>
                <w:color w:val="auto"/>
                <w:sz w:val="24"/>
                <w:szCs w:val="24"/>
                <w:highlight w:val="none"/>
                <w:lang w:val="en-US" w:eastAsia="zh-CN"/>
              </w:rPr>
            </w:pPr>
          </w:p>
          <w:p>
            <w:pPr>
              <w:pStyle w:val="38"/>
              <w:ind w:firstLine="480" w:firstLineChars="200"/>
              <w:rPr>
                <w:rFonts w:hint="eastAsia" w:ascii="Times New Roman" w:hAnsi="Times New Roman" w:cs="Times New Roman"/>
                <w:color w:val="auto"/>
                <w:sz w:val="24"/>
                <w:szCs w:val="24"/>
                <w:highlight w:val="none"/>
                <w:lang w:val="en-US" w:eastAsia="zh-CN"/>
              </w:rPr>
            </w:pPr>
          </w:p>
          <w:p>
            <w:pPr>
              <w:pStyle w:val="38"/>
              <w:ind w:firstLine="480" w:firstLineChars="200"/>
              <w:rPr>
                <w:rFonts w:hint="eastAsia" w:ascii="Times New Roman" w:hAnsi="Times New Roman" w:cs="Times New Roman"/>
                <w:color w:val="auto"/>
                <w:sz w:val="24"/>
                <w:szCs w:val="24"/>
                <w:highlight w:val="none"/>
                <w:lang w:val="en-US" w:eastAsia="zh-CN"/>
              </w:rPr>
            </w:pPr>
          </w:p>
          <w:p>
            <w:pPr>
              <w:pStyle w:val="38"/>
              <w:ind w:firstLine="480" w:firstLineChars="200"/>
              <w:rPr>
                <w:rFonts w:hint="eastAsia" w:ascii="Times New Roman" w:hAnsi="Times New Roman" w:cs="Times New Roman"/>
                <w:color w:val="auto"/>
                <w:sz w:val="24"/>
                <w:szCs w:val="24"/>
                <w:highlight w:val="none"/>
                <w:lang w:val="en-US" w:eastAsia="zh-CN"/>
              </w:rPr>
            </w:pPr>
          </w:p>
          <w:p>
            <w:pPr>
              <w:pStyle w:val="38"/>
              <w:ind w:firstLine="480" w:firstLineChars="200"/>
              <w:rPr>
                <w:rFonts w:hint="eastAsia" w:ascii="Times New Roman" w:hAnsi="Times New Roman" w:cs="Times New Roman"/>
                <w:color w:val="auto"/>
                <w:sz w:val="24"/>
                <w:szCs w:val="24"/>
                <w:highlight w:val="none"/>
                <w:lang w:val="en-US" w:eastAsia="zh-CN"/>
              </w:rPr>
            </w:pPr>
          </w:p>
          <w:p>
            <w:pPr>
              <w:pStyle w:val="38"/>
              <w:ind w:firstLine="480" w:firstLineChars="200"/>
              <w:rPr>
                <w:rFonts w:hint="default" w:ascii="Times New Roman" w:hAnsi="Times New Roman" w:eastAsia="宋体" w:cs="Times New Roman"/>
                <w:color w:val="auto"/>
                <w:sz w:val="24"/>
                <w:szCs w:val="24"/>
                <w:highlight w:val="none"/>
                <w:lang w:val="en-US" w:eastAsia="zh-CN"/>
              </w:rPr>
            </w:pPr>
          </w:p>
          <w:p>
            <w:pPr>
              <w:pStyle w:val="9"/>
              <w:keepNext/>
              <w:keepLines/>
              <w:pageBreakBefore w:val="0"/>
              <w:widowControl w:val="0"/>
              <w:kinsoku/>
              <w:wordWrap/>
              <w:overflowPunct/>
              <w:topLinePunct w:val="0"/>
              <w:autoSpaceDE/>
              <w:autoSpaceDN/>
              <w:bidi w:val="0"/>
              <w:adjustRightInd/>
              <w:snapToGrid w:val="0"/>
              <w:spacing w:before="96" w:beforeLines="30" w:after="96" w:afterLines="30"/>
              <w:textAlignment w:val="auto"/>
              <w:outlineLvl w:val="4"/>
              <w:rPr>
                <w:rFonts w:hint="eastAsia" w:ascii="Times New Roman" w:hAnsi="Times New Roman" w:eastAsia="宋体" w:cs="Times New Roman"/>
                <w:color w:val="auto"/>
                <w:highlight w:val="none"/>
                <w:lang w:eastAsia="zh-CN"/>
              </w:rPr>
            </w:pPr>
          </w:p>
        </w:tc>
      </w:tr>
    </w:tbl>
    <w:p>
      <w:pPr>
        <w:rPr>
          <w:rFonts w:hint="default" w:ascii="Times New Roman" w:hAnsi="Times New Roman" w:cs="Times New Roman"/>
          <w:color w:val="auto"/>
          <w:highlight w:val="none"/>
          <w:lang w:val="en-US" w:eastAsia="zh-CN"/>
        </w:rPr>
        <w:sectPr>
          <w:pgSz w:w="11906" w:h="16838"/>
          <w:pgMar w:top="1417" w:right="1417" w:bottom="1417" w:left="1417" w:header="851" w:footer="992" w:gutter="0"/>
          <w:pgNumType w:fmt="decimal"/>
          <w:cols w:space="720" w:num="1"/>
          <w:rtlGutter w:val="0"/>
          <w:docGrid w:type="lines" w:linePitch="318" w:charSpace="0"/>
        </w:sectPr>
      </w:pPr>
    </w:p>
    <w:p>
      <w:pPr>
        <w:pStyle w:val="7"/>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主要原辅材料用量</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项目主要原料为钢渣，钢渣</w:t>
      </w:r>
      <w:r>
        <w:rPr>
          <w:rFonts w:hint="eastAsia" w:cs="Times New Roman"/>
          <w:color w:val="auto"/>
          <w:sz w:val="24"/>
          <w:szCs w:val="24"/>
          <w:highlight w:val="none"/>
          <w:lang w:val="en-US" w:eastAsia="zh-CN"/>
        </w:rPr>
        <w:t>处理</w:t>
      </w:r>
      <w:r>
        <w:rPr>
          <w:rFonts w:hint="eastAsia" w:ascii="Times New Roman" w:hAnsi="Times New Roman" w:cs="Times New Roman"/>
          <w:color w:val="auto"/>
          <w:sz w:val="24"/>
          <w:szCs w:val="24"/>
          <w:highlight w:val="none"/>
          <w:lang w:val="en-US" w:eastAsia="zh-CN"/>
        </w:rPr>
        <w:t>总量保持60万t/a不变。钢渣主要来源于青拓集团钢铁生产企业，因青拓集团钢铁生产企业进行超低排放改造，变更了相关钢渣处理工艺，导致供应钢渣品类变动，本项目作为青拓集团钢渣处理配套企业，相应的钢渣原料品类亦做相关调整，详见表2.4-1。</w:t>
      </w: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highlight w:val="none"/>
          <w:lang w:val="en-US" w:eastAsia="zh-CN"/>
        </w:rPr>
      </w:pPr>
      <w:r>
        <w:rPr>
          <w:rFonts w:hint="default" w:ascii="Times New Roman" w:hAnsi="Times New Roman" w:cs="宋体"/>
          <w:color w:val="auto"/>
          <w:highlight w:val="none"/>
          <w:lang w:val="en-US" w:eastAsia="zh-CN"/>
        </w:rPr>
        <w:t>表2.</w:t>
      </w:r>
      <w:r>
        <w:rPr>
          <w:rFonts w:hint="eastAsia" w:ascii="Times New Roman" w:hAnsi="Times New Roman" w:cs="宋体"/>
          <w:color w:val="auto"/>
          <w:highlight w:val="none"/>
          <w:lang w:val="en-US" w:eastAsia="zh-CN"/>
        </w:rPr>
        <w:t>4</w:t>
      </w:r>
      <w:r>
        <w:rPr>
          <w:rFonts w:hint="default" w:ascii="Times New Roman" w:hAnsi="Times New Roman" w:cs="宋体"/>
          <w:color w:val="auto"/>
          <w:highlight w:val="none"/>
          <w:lang w:val="en-US" w:eastAsia="zh-CN"/>
        </w:rPr>
        <w:t xml:space="preserve">-1  </w:t>
      </w:r>
      <w:r>
        <w:rPr>
          <w:rFonts w:hint="eastAsia" w:ascii="Times New Roman" w:hAnsi="Times New Roman" w:cs="宋体"/>
          <w:color w:val="auto"/>
          <w:highlight w:val="none"/>
          <w:lang w:val="en-US" w:eastAsia="zh-CN"/>
        </w:rPr>
        <w:t>主要原辅材料变</w:t>
      </w:r>
      <w:r>
        <w:rPr>
          <w:rFonts w:hint="eastAsia" w:cs="宋体"/>
          <w:color w:val="auto"/>
          <w:highlight w:val="none"/>
          <w:lang w:val="en-US" w:eastAsia="zh-CN"/>
        </w:rPr>
        <w:t>动</w:t>
      </w:r>
      <w:r>
        <w:rPr>
          <w:rFonts w:hint="eastAsia" w:ascii="Times New Roman" w:hAnsi="Times New Roman" w:cs="宋体"/>
          <w:color w:val="auto"/>
          <w:highlight w:val="none"/>
          <w:lang w:val="en-US" w:eastAsia="zh-CN"/>
        </w:rPr>
        <w:t>情况一览表</w:t>
      </w:r>
      <w:r>
        <w:rPr>
          <w:rFonts w:hint="eastAsia" w:cs="宋体"/>
          <w:color w:val="1919FF"/>
          <w:highlight w:val="none"/>
          <w:lang w:val="en-US" w:eastAsia="zh-CN"/>
        </w:rPr>
        <w:t>（</w:t>
      </w:r>
      <w:r>
        <w:rPr>
          <w:rFonts w:hint="eastAsia" w:ascii="Times New Roman" w:hAnsi="Times New Roman" w:cs="宋体"/>
          <w:color w:val="1919FF"/>
          <w:highlight w:val="none"/>
          <w:lang w:val="en-US" w:eastAsia="zh-CN"/>
        </w:rPr>
        <w:t>***涉密删除***</w:t>
      </w:r>
      <w:r>
        <w:rPr>
          <w:rFonts w:hint="eastAsia" w:cs="宋体"/>
          <w:color w:val="1919FF"/>
          <w:highlight w:val="none"/>
          <w:lang w:val="en-US" w:eastAsia="zh-CN"/>
        </w:rPr>
        <w:t>）</w:t>
      </w:r>
    </w:p>
    <w:tbl>
      <w:tblPr>
        <w:tblStyle w:val="28"/>
        <w:tblW w:w="506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77"/>
        <w:gridCol w:w="756"/>
        <w:gridCol w:w="818"/>
        <w:gridCol w:w="3640"/>
        <w:gridCol w:w="716"/>
        <w:gridCol w:w="4600"/>
        <w:gridCol w:w="690"/>
        <w:gridCol w:w="26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tblHeader/>
          <w:jc w:val="center"/>
        </w:trPr>
        <w:tc>
          <w:tcPr>
            <w:tcW w:w="399" w:type="pct"/>
            <w:gridSpan w:val="2"/>
            <w:vMerge w:val="restart"/>
            <w:tcBorders>
              <w:left w:val="single" w:color="auto" w:sz="4" w:space="0"/>
            </w:tcBorders>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原辅料名称</w:t>
            </w:r>
          </w:p>
        </w:tc>
        <w:tc>
          <w:tcPr>
            <w:tcW w:w="288" w:type="pct"/>
            <w:vMerge w:val="restart"/>
            <w:tcBorders>
              <w:right w:val="single" w:color="auto" w:sz="4" w:space="0"/>
            </w:tcBorders>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单位</w:t>
            </w:r>
          </w:p>
        </w:tc>
        <w:tc>
          <w:tcPr>
            <w:tcW w:w="1533" w:type="pct"/>
            <w:gridSpan w:val="2"/>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环评时</w:t>
            </w:r>
          </w:p>
        </w:tc>
        <w:tc>
          <w:tcPr>
            <w:tcW w:w="1862" w:type="pct"/>
            <w:gridSpan w:val="2"/>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验收时</w:t>
            </w:r>
          </w:p>
        </w:tc>
        <w:tc>
          <w:tcPr>
            <w:tcW w:w="915" w:type="pct"/>
            <w:vMerge w:val="restart"/>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变</w:t>
            </w:r>
            <w:r>
              <w:rPr>
                <w:rFonts w:hint="eastAsia" w:cs="Times New Roman"/>
                <w:b/>
                <w:bCs/>
                <w:color w:val="auto"/>
                <w:sz w:val="21"/>
                <w:szCs w:val="21"/>
                <w:highlight w:val="none"/>
                <w:lang w:val="en-US" w:eastAsia="zh-CN"/>
              </w:rPr>
              <w:t>动</w:t>
            </w:r>
            <w:r>
              <w:rPr>
                <w:rFonts w:hint="default" w:ascii="Times New Roman" w:hAnsi="Times New Roman" w:cs="Times New Roman"/>
                <w:b/>
                <w:bCs/>
                <w:color w:val="auto"/>
                <w:sz w:val="21"/>
                <w:szCs w:val="21"/>
                <w:highlight w:val="none"/>
                <w:lang w:eastAsia="zh-CN"/>
              </w:rP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399" w:type="pct"/>
            <w:gridSpan w:val="2"/>
            <w:vMerge w:val="continue"/>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88" w:type="pct"/>
            <w:vMerge w:val="continue"/>
            <w:tcBorders>
              <w:right w:val="single" w:color="auto" w:sz="4" w:space="0"/>
            </w:tcBorders>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b/>
                <w:bCs/>
                <w:color w:val="auto"/>
                <w:sz w:val="21"/>
                <w:szCs w:val="21"/>
                <w:highlight w:val="none"/>
                <w:lang w:val="en-US" w:eastAsia="zh-CN"/>
              </w:rPr>
            </w:pPr>
          </w:p>
        </w:tc>
        <w:tc>
          <w:tcPr>
            <w:tcW w:w="1281" w:type="pct"/>
            <w:tcBorders>
              <w:right w:val="single" w:color="auto" w:sz="4" w:space="0"/>
            </w:tcBorders>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属性及来源</w:t>
            </w:r>
          </w:p>
        </w:tc>
        <w:tc>
          <w:tcPr>
            <w:tcW w:w="251" w:type="pct"/>
            <w:tcBorders>
              <w:left w:val="single" w:color="auto" w:sz="4" w:space="0"/>
            </w:tcBorders>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用量</w:t>
            </w:r>
          </w:p>
        </w:tc>
        <w:tc>
          <w:tcPr>
            <w:tcW w:w="1619" w:type="pct"/>
            <w:tcBorders>
              <w:right w:val="single" w:color="auto" w:sz="4" w:space="0"/>
            </w:tcBorders>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属性及来源</w:t>
            </w:r>
          </w:p>
        </w:tc>
        <w:tc>
          <w:tcPr>
            <w:tcW w:w="243" w:type="pct"/>
            <w:tcBorders>
              <w:left w:val="single" w:color="auto" w:sz="4" w:space="0"/>
            </w:tcBorders>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用量</w:t>
            </w:r>
          </w:p>
        </w:tc>
        <w:tc>
          <w:tcPr>
            <w:tcW w:w="915" w:type="pct"/>
            <w:vMerge w:val="continue"/>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b/>
                <w:bCs/>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33" w:type="pct"/>
            <w:vMerge w:val="restar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钢渣</w:t>
            </w:r>
          </w:p>
        </w:tc>
        <w:tc>
          <w:tcPr>
            <w:tcW w:w="266"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精炼渣</w:t>
            </w:r>
          </w:p>
        </w:tc>
        <w:tc>
          <w:tcPr>
            <w:tcW w:w="288"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万t/a</w:t>
            </w:r>
          </w:p>
        </w:tc>
        <w:tc>
          <w:tcPr>
            <w:tcW w:w="1281"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属</w:t>
            </w:r>
            <w:r>
              <w:rPr>
                <w:rFonts w:hint="default" w:ascii="Times New Roman" w:hAnsi="Times New Roman" w:cs="Times New Roman"/>
                <w:color w:val="auto"/>
                <w:sz w:val="21"/>
                <w:szCs w:val="21"/>
                <w:highlight w:val="none"/>
                <w:lang w:val="en-US" w:eastAsia="zh-CN"/>
              </w:rPr>
              <w:t>Ⅱ类一般工业固废，青拓集团钢铁企业钢铁精炼</w:t>
            </w:r>
            <w:r>
              <w:rPr>
                <w:rFonts w:hint="eastAsia" w:ascii="Times New Roman" w:hAnsi="Times New Roman" w:cs="Times New Roman"/>
                <w:color w:val="auto"/>
                <w:sz w:val="21"/>
                <w:szCs w:val="21"/>
                <w:highlight w:val="none"/>
                <w:lang w:val="en-US" w:eastAsia="zh-CN"/>
              </w:rPr>
              <w:t>时</w:t>
            </w:r>
            <w:r>
              <w:rPr>
                <w:rFonts w:hint="default" w:ascii="Times New Roman" w:hAnsi="Times New Roman" w:cs="Times New Roman"/>
                <w:color w:val="auto"/>
                <w:sz w:val="21"/>
                <w:szCs w:val="21"/>
                <w:highlight w:val="none"/>
                <w:lang w:val="en-US" w:eastAsia="zh-CN"/>
              </w:rPr>
              <w:t>产生，再经</w:t>
            </w:r>
            <w:r>
              <w:rPr>
                <w:rFonts w:hint="default" w:ascii="Times New Roman" w:hAnsi="Times New Roman" w:eastAsia="宋体" w:cs="Times New Roman"/>
                <w:color w:val="auto"/>
                <w:sz w:val="21"/>
                <w:szCs w:val="21"/>
                <w:highlight w:val="none"/>
                <w:lang w:val="en-US" w:eastAsia="zh-CN"/>
              </w:rPr>
              <w:t>“破碎-筛分-球磨-摇床选钢-磁选铁”工艺处理后供应本项目，含水率较低（约20%）。</w:t>
            </w:r>
          </w:p>
        </w:tc>
        <w:tc>
          <w:tcPr>
            <w:tcW w:w="251"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1619"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属</w:t>
            </w:r>
            <w:r>
              <w:rPr>
                <w:rFonts w:hint="default" w:ascii="Times New Roman" w:hAnsi="Times New Roman" w:cs="Times New Roman"/>
                <w:color w:val="auto"/>
                <w:sz w:val="21"/>
                <w:szCs w:val="21"/>
                <w:highlight w:val="none"/>
                <w:lang w:val="en-US" w:eastAsia="zh-CN"/>
              </w:rPr>
              <w:t>Ⅱ类一般工业固废，青拓集团钢铁企业钢铁精炼</w:t>
            </w:r>
            <w:r>
              <w:rPr>
                <w:rFonts w:hint="eastAsia" w:ascii="Times New Roman" w:hAnsi="Times New Roman" w:cs="Times New Roman"/>
                <w:color w:val="auto"/>
                <w:sz w:val="21"/>
                <w:szCs w:val="21"/>
                <w:highlight w:val="none"/>
                <w:lang w:val="en-US" w:eastAsia="zh-CN"/>
              </w:rPr>
              <w:t>时</w:t>
            </w:r>
            <w:r>
              <w:rPr>
                <w:rFonts w:hint="default" w:ascii="Times New Roman" w:hAnsi="Times New Roman" w:cs="Times New Roman"/>
                <w:color w:val="auto"/>
                <w:sz w:val="21"/>
                <w:szCs w:val="21"/>
                <w:highlight w:val="none"/>
                <w:lang w:val="en-US" w:eastAsia="zh-CN"/>
              </w:rPr>
              <w:t>产生，因青拓集团钢铁企业进行超低排放改造，将精炼渣处理工艺变更为</w:t>
            </w:r>
            <w:r>
              <w:rPr>
                <w:rFonts w:hint="default" w:ascii="Times New Roman" w:hAnsi="Times New Roman" w:eastAsia="宋体" w:cs="Times New Roman"/>
                <w:color w:val="auto"/>
                <w:sz w:val="21"/>
                <w:szCs w:val="21"/>
                <w:highlight w:val="none"/>
                <w:lang w:val="en-US" w:eastAsia="zh-CN"/>
              </w:rPr>
              <w:t>“水淬”</w:t>
            </w:r>
            <w:r>
              <w:rPr>
                <w:rFonts w:hint="default" w:ascii="Times New Roman" w:hAnsi="Times New Roman" w:cs="Times New Roman"/>
                <w:color w:val="auto"/>
                <w:sz w:val="21"/>
                <w:szCs w:val="21"/>
                <w:highlight w:val="none"/>
                <w:lang w:val="en-US" w:eastAsia="zh-CN"/>
              </w:rPr>
              <w:t>，精炼渣</w:t>
            </w:r>
            <w:r>
              <w:rPr>
                <w:rFonts w:hint="default" w:ascii="Times New Roman" w:hAnsi="Times New Roman" w:eastAsia="宋体" w:cs="Times New Roman"/>
                <w:color w:val="auto"/>
                <w:sz w:val="21"/>
                <w:szCs w:val="21"/>
                <w:highlight w:val="none"/>
                <w:lang w:val="en-US" w:eastAsia="zh-CN"/>
              </w:rPr>
              <w:t>“水淬”处理后直接供应本项目，含水率较高（约40%）。</w:t>
            </w:r>
          </w:p>
        </w:tc>
        <w:tc>
          <w:tcPr>
            <w:tcW w:w="243"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91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精炼渣原料含水率提高，处理量减少30万t/a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33" w:type="pct"/>
            <w:vMerge w:val="continue"/>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66"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镍铁渣</w:t>
            </w:r>
          </w:p>
        </w:tc>
        <w:tc>
          <w:tcPr>
            <w:tcW w:w="288"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万t/a</w:t>
            </w:r>
          </w:p>
        </w:tc>
        <w:tc>
          <w:tcPr>
            <w:tcW w:w="1281"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51"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619"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属</w:t>
            </w:r>
            <w:r>
              <w:rPr>
                <w:rFonts w:hint="default" w:ascii="Times New Roman" w:hAnsi="Times New Roman" w:cs="Times New Roman"/>
                <w:color w:val="auto"/>
                <w:sz w:val="21"/>
                <w:szCs w:val="21"/>
                <w:highlight w:val="none"/>
                <w:lang w:val="en-US" w:eastAsia="zh-CN"/>
              </w:rPr>
              <w:t>Ⅰ类一般工业固废，青拓集团钢铁企业以红土镍矿为原料冶炼镍铁时产生，经</w:t>
            </w:r>
            <w:r>
              <w:rPr>
                <w:rFonts w:hint="default" w:ascii="Times New Roman" w:hAnsi="Times New Roman" w:eastAsia="宋体" w:cs="Times New Roman"/>
                <w:color w:val="auto"/>
                <w:sz w:val="21"/>
                <w:szCs w:val="21"/>
                <w:highlight w:val="none"/>
                <w:lang w:val="en-US" w:eastAsia="zh-CN"/>
              </w:rPr>
              <w:t>“水淬”处理后直接供应本项目，含水率较高（约40%）。</w:t>
            </w:r>
          </w:p>
        </w:tc>
        <w:tc>
          <w:tcPr>
            <w:tcW w:w="243"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91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新增</w:t>
            </w:r>
            <w:r>
              <w:rPr>
                <w:rFonts w:hint="default" w:ascii="Times New Roman" w:hAnsi="Times New Roman" w:cs="Times New Roman"/>
                <w:color w:val="auto"/>
                <w:sz w:val="21"/>
                <w:szCs w:val="21"/>
                <w:highlight w:val="none"/>
                <w:lang w:val="en-US" w:eastAsia="zh-CN"/>
              </w:rPr>
              <w:t>镍铁渣</w:t>
            </w:r>
            <w:r>
              <w:rPr>
                <w:rFonts w:hint="eastAsia" w:ascii="Times New Roman" w:hAnsi="Times New Roman" w:cs="Times New Roman"/>
                <w:color w:val="auto"/>
                <w:sz w:val="21"/>
                <w:szCs w:val="21"/>
                <w:highlight w:val="none"/>
                <w:lang w:val="en-US" w:eastAsia="zh-CN"/>
              </w:rPr>
              <w:t>原料，处理量30万t/a，项目钢渣总处理能力保持60万t/a不变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33" w:type="pct"/>
            <w:vMerge w:val="continue"/>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66"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288"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万t/a</w:t>
            </w:r>
          </w:p>
        </w:tc>
        <w:tc>
          <w:tcPr>
            <w:tcW w:w="1281"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51"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1619"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43"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91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项目钢渣总处理能力保持60万t/a不变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399" w:type="pct"/>
            <w:gridSpan w:val="2"/>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w:t>
            </w:r>
          </w:p>
        </w:tc>
        <w:tc>
          <w:tcPr>
            <w:tcW w:w="288"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万kwh/a</w:t>
            </w:r>
          </w:p>
        </w:tc>
        <w:tc>
          <w:tcPr>
            <w:tcW w:w="364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从鼎信科技引入电源</w:t>
            </w:r>
          </w:p>
        </w:tc>
        <w:tc>
          <w:tcPr>
            <w:tcW w:w="71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460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从鼎信科技引入电源</w:t>
            </w:r>
          </w:p>
        </w:tc>
        <w:tc>
          <w:tcPr>
            <w:tcW w:w="69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91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与环评基本一致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399" w:type="pct"/>
            <w:gridSpan w:val="2"/>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w:t>
            </w:r>
          </w:p>
        </w:tc>
        <w:tc>
          <w:tcPr>
            <w:tcW w:w="288" w:type="pct"/>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364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利用现有给水管网</w:t>
            </w:r>
          </w:p>
        </w:tc>
        <w:tc>
          <w:tcPr>
            <w:tcW w:w="716"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460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利用现有给水管网</w:t>
            </w:r>
          </w:p>
        </w:tc>
        <w:tc>
          <w:tcPr>
            <w:tcW w:w="69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915" w:type="pct"/>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与环评基本一致</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imes New Roman" w:hAnsi="Times New Roman" w:cs="Times New Roman"/>
          <w:color w:val="auto"/>
          <w:sz w:val="24"/>
          <w:szCs w:val="24"/>
          <w:highlight w:val="none"/>
          <w:lang w:val="en-US" w:eastAsia="zh-CN"/>
        </w:rPr>
        <w:sectPr>
          <w:pgSz w:w="16838" w:h="11906" w:orient="landscape"/>
          <w:pgMar w:top="1417" w:right="1417" w:bottom="1417" w:left="1417" w:header="851" w:footer="992" w:gutter="0"/>
          <w:pgNumType w:fmt="decimal"/>
          <w:cols w:space="720" w:num="1"/>
          <w:rtlGutter w:val="0"/>
          <w:docGrid w:type="lines" w:linePitch="318" w:charSpace="0"/>
        </w:sectPr>
      </w:pPr>
      <w:r>
        <w:rPr>
          <w:rFonts w:hint="eastAsia" w:cs="Times New Roman"/>
          <w:color w:val="auto"/>
          <w:sz w:val="21"/>
          <w:szCs w:val="21"/>
          <w:highlight w:val="none"/>
          <w:lang w:val="en-US" w:eastAsia="zh-CN"/>
        </w:rPr>
        <w:t>注：采用调试期间统计数据折算年消耗量。</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9288" w:type="dxa"/>
            <w:noWrap w:val="0"/>
            <w:vAlign w:val="top"/>
          </w:tcPr>
          <w:p>
            <w:pPr>
              <w:pStyle w:val="6"/>
              <w:keepNext/>
              <w:keepLines w:val="0"/>
              <w:pageBreakBefore w:val="0"/>
              <w:widowControl w:val="0"/>
              <w:kinsoku/>
              <w:wordWrap/>
              <w:overflowPunct/>
              <w:topLinePunct w:val="0"/>
              <w:autoSpaceDE/>
              <w:autoSpaceDN/>
              <w:bidi w:val="0"/>
              <w:adjustRightInd/>
              <w:snapToGrid/>
              <w:spacing w:before="160" w:beforeLines="50" w:after="160" w:afterLines="50" w:line="240" w:lineRule="auto"/>
              <w:textAlignment w:val="auto"/>
              <w:rPr>
                <w:rFonts w:hint="default" w:ascii="Times New Roman" w:hAnsi="Times New Roman" w:cs="Times New Roman"/>
                <w:color w:val="auto"/>
                <w:highlight w:val="none"/>
                <w:lang w:val="en-US" w:eastAsia="zh-CN"/>
              </w:rPr>
            </w:pPr>
            <w:bookmarkStart w:id="16" w:name="_Toc24625"/>
            <w:bookmarkStart w:id="17" w:name="_Toc32562"/>
            <w:r>
              <w:rPr>
                <w:rFonts w:hint="default" w:ascii="Times New Roman" w:hAnsi="Times New Roman" w:cs="Times New Roman"/>
                <w:color w:val="auto"/>
                <w:highlight w:val="none"/>
                <w:lang w:val="en-US" w:eastAsia="zh-CN"/>
              </w:rPr>
              <w:t>2.5主要工艺流程及</w:t>
            </w:r>
            <w:bookmarkEnd w:id="16"/>
            <w:r>
              <w:rPr>
                <w:rFonts w:hint="default" w:ascii="Times New Roman" w:hAnsi="Times New Roman" w:cs="Times New Roman"/>
                <w:color w:val="auto"/>
                <w:highlight w:val="none"/>
                <w:lang w:val="en-US" w:eastAsia="zh-CN"/>
              </w:rPr>
              <w:t>产污环节</w:t>
            </w:r>
            <w:bookmarkEnd w:id="17"/>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与环评时相比，项目</w:t>
            </w:r>
            <w:r>
              <w:rPr>
                <w:rFonts w:hint="eastAsia" w:ascii="Times New Roman" w:hAnsi="Times New Roman" w:cs="Times New Roman"/>
                <w:b w:val="0"/>
                <w:bCs/>
                <w:color w:val="auto"/>
                <w:sz w:val="24"/>
                <w:szCs w:val="24"/>
                <w:highlight w:val="none"/>
                <w:lang w:val="en-US" w:eastAsia="zh-CN"/>
              </w:rPr>
              <w:t>生产工艺发生部分变动，详见表2.5-1。</w:t>
            </w: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highlight w:val="none"/>
                <w:lang w:val="en-US" w:eastAsia="zh-CN"/>
              </w:rPr>
            </w:pPr>
            <w:r>
              <w:rPr>
                <w:rFonts w:hint="default" w:ascii="Times New Roman" w:hAnsi="Times New Roman" w:cs="宋体"/>
                <w:color w:val="auto"/>
                <w:highlight w:val="none"/>
                <w:lang w:val="en-US" w:eastAsia="zh-CN"/>
              </w:rPr>
              <w:t>表2.</w:t>
            </w:r>
            <w:r>
              <w:rPr>
                <w:rFonts w:hint="eastAsia" w:ascii="Times New Roman" w:hAnsi="Times New Roman" w:cs="宋体"/>
                <w:color w:val="auto"/>
                <w:highlight w:val="none"/>
                <w:lang w:val="en-US" w:eastAsia="zh-CN"/>
              </w:rPr>
              <w:t>5</w:t>
            </w:r>
            <w:r>
              <w:rPr>
                <w:rFonts w:hint="default" w:ascii="Times New Roman" w:hAnsi="Times New Roman" w:cs="宋体"/>
                <w:color w:val="auto"/>
                <w:highlight w:val="none"/>
                <w:lang w:val="en-US" w:eastAsia="zh-CN"/>
              </w:rPr>
              <w:t xml:space="preserve">-1  </w:t>
            </w:r>
            <w:r>
              <w:rPr>
                <w:rFonts w:hint="eastAsia" w:ascii="Times New Roman" w:hAnsi="Times New Roman" w:cs="宋体"/>
                <w:color w:val="auto"/>
                <w:highlight w:val="none"/>
                <w:lang w:val="en-US" w:eastAsia="zh-CN"/>
              </w:rPr>
              <w:t>生产工艺</w:t>
            </w:r>
            <w:r>
              <w:rPr>
                <w:rFonts w:hint="eastAsia" w:cs="宋体"/>
                <w:color w:val="auto"/>
                <w:highlight w:val="none"/>
                <w:lang w:val="en-US" w:eastAsia="zh-CN"/>
              </w:rPr>
              <w:t>变动</w:t>
            </w:r>
            <w:r>
              <w:rPr>
                <w:rFonts w:hint="eastAsia" w:ascii="Times New Roman" w:hAnsi="Times New Roman" w:cs="宋体"/>
                <w:color w:val="auto"/>
                <w:highlight w:val="none"/>
                <w:lang w:val="en-US" w:eastAsia="zh-CN"/>
              </w:rPr>
              <w:t>情况一览表</w:t>
            </w:r>
          </w:p>
          <w:tbl>
            <w:tblPr>
              <w:tblStyle w:val="28"/>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390"/>
              <w:gridCol w:w="3407"/>
              <w:gridCol w:w="2"/>
              <w:gridCol w:w="2259"/>
              <w:gridCol w:w="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2" w:type="pct"/>
                <w:cantSplit/>
                <w:trHeight w:val="397" w:hRule="atLeast"/>
                <w:tblHeader/>
                <w:jc w:val="center"/>
              </w:trPr>
              <w:tc>
                <w:tcPr>
                  <w:tcW w:w="1870" w:type="pct"/>
                  <w:tcBorders>
                    <w:left w:val="single" w:color="auto" w:sz="4" w:space="0"/>
                  </w:tcBorders>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环评时</w:t>
                  </w:r>
                  <w:r>
                    <w:rPr>
                      <w:rFonts w:hint="eastAsia" w:ascii="Times New Roman" w:hAnsi="Times New Roman" w:cs="Times New Roman"/>
                      <w:b/>
                      <w:bCs/>
                      <w:color w:val="auto"/>
                      <w:sz w:val="21"/>
                      <w:szCs w:val="21"/>
                      <w:highlight w:val="none"/>
                      <w:lang w:val="en-US" w:eastAsia="zh-CN"/>
                    </w:rPr>
                    <w:t>生产工艺</w:t>
                  </w:r>
                </w:p>
              </w:tc>
              <w:tc>
                <w:tcPr>
                  <w:tcW w:w="1879" w:type="pct"/>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eastAsia="zh-CN"/>
                    </w:rPr>
                    <w:t>实际</w:t>
                  </w:r>
                  <w:r>
                    <w:rPr>
                      <w:rFonts w:hint="eastAsia" w:ascii="Times New Roman" w:hAnsi="Times New Roman" w:cs="Times New Roman"/>
                      <w:b/>
                      <w:bCs/>
                      <w:color w:val="auto"/>
                      <w:sz w:val="21"/>
                      <w:szCs w:val="21"/>
                      <w:highlight w:val="none"/>
                      <w:lang w:val="en-US" w:eastAsia="zh-CN"/>
                    </w:rPr>
                    <w:t>生产工艺</w:t>
                  </w:r>
                </w:p>
              </w:tc>
              <w:tc>
                <w:tcPr>
                  <w:tcW w:w="1247" w:type="pct"/>
                  <w:gridSpan w:val="2"/>
                  <w:noWrap w:val="0"/>
                  <w:tcMar>
                    <w:left w:w="0" w:type="dxa"/>
                    <w:right w:w="0"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变</w:t>
                  </w:r>
                  <w:r>
                    <w:rPr>
                      <w:rFonts w:hint="eastAsia" w:cs="Times New Roman"/>
                      <w:b/>
                      <w:bCs/>
                      <w:color w:val="auto"/>
                      <w:sz w:val="21"/>
                      <w:szCs w:val="21"/>
                      <w:highlight w:val="none"/>
                      <w:lang w:val="en-US" w:eastAsia="zh-CN"/>
                    </w:rPr>
                    <w:t>动</w:t>
                  </w:r>
                  <w:r>
                    <w:rPr>
                      <w:rFonts w:hint="default" w:ascii="Times New Roman" w:hAnsi="Times New Roman" w:cs="Times New Roman"/>
                      <w:b/>
                      <w:bCs/>
                      <w:color w:val="auto"/>
                      <w:sz w:val="21"/>
                      <w:szCs w:val="21"/>
                      <w:highlight w:val="none"/>
                      <w:lang w:eastAsia="zh-CN"/>
                    </w:rP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870"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i w:val="0"/>
                      <w:color w:val="auto"/>
                      <w:kern w:val="0"/>
                      <w:sz w:val="21"/>
                      <w:szCs w:val="21"/>
                      <w:highlight w:val="none"/>
                      <w:u w:val="none"/>
                      <w:lang w:val="en-US" w:eastAsia="zh-CN" w:bidi="ar"/>
                    </w:rPr>
                    <w:t>一次</w:t>
                  </w:r>
                  <w:r>
                    <w:rPr>
                      <w:rFonts w:hint="default" w:ascii="Times New Roman" w:hAnsi="Times New Roman" w:cs="Times New Roman"/>
                      <w:i w:val="0"/>
                      <w:color w:val="auto"/>
                      <w:kern w:val="0"/>
                      <w:sz w:val="21"/>
                      <w:szCs w:val="21"/>
                      <w:highlight w:val="none"/>
                      <w:u w:val="none"/>
                      <w:lang w:val="en-US" w:eastAsia="zh-CN" w:bidi="ar"/>
                    </w:rPr>
                    <w:t>破碎、筛分</w:t>
                  </w:r>
                  <w:r>
                    <w:rPr>
                      <w:rFonts w:hint="eastAsia" w:ascii="Times New Roman" w:hAnsi="Times New Roman" w:cs="Times New Roman"/>
                      <w:i w:val="0"/>
                      <w:color w:val="auto"/>
                      <w:kern w:val="0"/>
                      <w:sz w:val="21"/>
                      <w:szCs w:val="21"/>
                      <w:highlight w:val="none"/>
                      <w:u w:val="none"/>
                      <w:lang w:val="en-US" w:eastAsia="zh-CN" w:bidi="ar"/>
                    </w:rPr>
                    <w:t>粉尘设集气罩收集，与二次破碎废气合并，采用1套布袋除尘器处理，由1根20m高排气筒排放。</w:t>
                  </w:r>
                </w:p>
              </w:tc>
              <w:tc>
                <w:tcPr>
                  <w:tcW w:w="1880" w:type="pct"/>
                  <w:gridSpan w:val="2"/>
                  <w:noWrap w:val="0"/>
                  <w:tcMar>
                    <w:left w:w="0" w:type="dxa"/>
                    <w:right w:w="0" w:type="dxa"/>
                  </w:tcMar>
                  <w:vAlign w:val="center"/>
                </w:tcPr>
                <w:p>
                  <w:pPr>
                    <w:pStyle w:val="54"/>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因青拓集团钢铁生产企业进行</w:t>
                  </w:r>
                  <w:r>
                    <w:rPr>
                      <w:rFonts w:hint="default" w:ascii="Times New Roman" w:hAnsi="Times New Roman" w:cs="Times New Roman"/>
                      <w:color w:val="auto"/>
                      <w:sz w:val="21"/>
                      <w:szCs w:val="21"/>
                      <w:highlight w:val="none"/>
                      <w:lang w:val="en-US" w:eastAsia="zh-CN"/>
                    </w:rPr>
                    <w:t>超低排放改造，</w:t>
                  </w:r>
                  <w:r>
                    <w:rPr>
                      <w:rFonts w:hint="eastAsia" w:ascii="Times New Roman" w:hAnsi="Times New Roman" w:cs="Times New Roman"/>
                      <w:color w:val="auto"/>
                      <w:sz w:val="21"/>
                      <w:szCs w:val="21"/>
                      <w:highlight w:val="none"/>
                      <w:lang w:val="en-US" w:eastAsia="zh-CN"/>
                    </w:rPr>
                    <w:t>上游企业</w:t>
                  </w:r>
                  <w:r>
                    <w:rPr>
                      <w:rFonts w:hint="default" w:ascii="Times New Roman" w:hAnsi="Times New Roman" w:cs="Times New Roman"/>
                      <w:color w:val="auto"/>
                      <w:sz w:val="21"/>
                      <w:szCs w:val="21"/>
                      <w:highlight w:val="none"/>
                      <w:lang w:val="en-US" w:eastAsia="zh-CN"/>
                    </w:rPr>
                    <w:t>钢渣</w:t>
                  </w:r>
                  <w:r>
                    <w:rPr>
                      <w:rFonts w:hint="eastAsia" w:ascii="Times New Roman" w:hAnsi="Times New Roman" w:cs="Times New Roman"/>
                      <w:color w:val="auto"/>
                      <w:sz w:val="21"/>
                      <w:szCs w:val="21"/>
                      <w:highlight w:val="none"/>
                      <w:lang w:val="en-US" w:eastAsia="zh-CN"/>
                    </w:rPr>
                    <w:t>处理工艺</w:t>
                  </w:r>
                  <w:r>
                    <w:rPr>
                      <w:rFonts w:hint="default" w:ascii="Times New Roman" w:hAnsi="Times New Roman" w:cs="Times New Roman"/>
                      <w:color w:val="auto"/>
                      <w:sz w:val="21"/>
                      <w:szCs w:val="21"/>
                      <w:highlight w:val="none"/>
                      <w:lang w:val="en-US" w:eastAsia="zh-CN"/>
                    </w:rPr>
                    <w:t>由湿法球磨工艺变为水淬工艺，</w:t>
                  </w:r>
                  <w:r>
                    <w:rPr>
                      <w:rFonts w:hint="eastAsia" w:ascii="Times New Roman" w:hAnsi="Times New Roman" w:cs="Times New Roman"/>
                      <w:color w:val="auto"/>
                      <w:sz w:val="21"/>
                      <w:szCs w:val="21"/>
                      <w:highlight w:val="none"/>
                      <w:lang w:val="en-US" w:eastAsia="zh-CN"/>
                    </w:rPr>
                    <w:t>导致本项目使用的</w:t>
                  </w:r>
                  <w:r>
                    <w:rPr>
                      <w:rFonts w:hint="default" w:ascii="Times New Roman" w:hAnsi="Times New Roman" w:cs="Times New Roman"/>
                      <w:color w:val="auto"/>
                      <w:sz w:val="21"/>
                      <w:szCs w:val="21"/>
                      <w:highlight w:val="none"/>
                      <w:lang w:val="en-US" w:eastAsia="zh-CN"/>
                    </w:rPr>
                    <w:t>钢渣</w:t>
                  </w:r>
                  <w:r>
                    <w:rPr>
                      <w:rFonts w:hint="eastAsia" w:ascii="Times New Roman" w:hAnsi="Times New Roman" w:cs="Times New Roman"/>
                      <w:color w:val="auto"/>
                      <w:sz w:val="21"/>
                      <w:szCs w:val="21"/>
                      <w:highlight w:val="none"/>
                      <w:lang w:val="en-US" w:eastAsia="zh-CN"/>
                    </w:rPr>
                    <w:t>原料</w:t>
                  </w:r>
                  <w:r>
                    <w:rPr>
                      <w:rFonts w:hint="default" w:ascii="Times New Roman" w:hAnsi="Times New Roman" w:cs="Times New Roman"/>
                      <w:color w:val="auto"/>
                      <w:sz w:val="21"/>
                      <w:szCs w:val="21"/>
                      <w:highlight w:val="none"/>
                      <w:lang w:val="en-US" w:eastAsia="zh-CN"/>
                    </w:rPr>
                    <w:t>含水率增加</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i w:val="0"/>
                      <w:color w:val="auto"/>
                      <w:kern w:val="0"/>
                      <w:sz w:val="21"/>
                      <w:szCs w:val="21"/>
                      <w:highlight w:val="none"/>
                      <w:u w:val="none"/>
                      <w:lang w:val="en-US" w:eastAsia="zh-CN" w:bidi="ar"/>
                    </w:rPr>
                    <w:t>一次破碎和筛分</w:t>
                  </w:r>
                  <w:r>
                    <w:rPr>
                      <w:rFonts w:hint="eastAsia" w:ascii="Times New Roman" w:hAnsi="Times New Roman" w:eastAsia="宋体" w:cs="Times New Roman"/>
                      <w:i w:val="0"/>
                      <w:color w:val="auto"/>
                      <w:kern w:val="0"/>
                      <w:sz w:val="21"/>
                      <w:szCs w:val="21"/>
                      <w:highlight w:val="none"/>
                      <w:u w:val="none"/>
                      <w:lang w:val="en-US" w:eastAsia="zh-CN" w:bidi="ar"/>
                    </w:rPr>
                    <w:t>产生粉尘含水率较高，易粘结并堵塞布袋除尘器，故</w:t>
                  </w:r>
                  <w:r>
                    <w:rPr>
                      <w:rFonts w:hint="default" w:ascii="Times New Roman" w:hAnsi="Times New Roman" w:eastAsia="宋体" w:cs="Times New Roman"/>
                      <w:i w:val="0"/>
                      <w:color w:val="auto"/>
                      <w:kern w:val="0"/>
                      <w:sz w:val="21"/>
                      <w:szCs w:val="21"/>
                      <w:highlight w:val="none"/>
                      <w:u w:val="none"/>
                      <w:lang w:val="en-US" w:eastAsia="zh-CN" w:bidi="ar"/>
                    </w:rPr>
                    <w:t>一次破碎和筛分生产过程产生的废气由</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集气罩+布袋除尘+20m排气筒</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变为</w:t>
                  </w:r>
                  <w:r>
                    <w:rPr>
                      <w:rFonts w:hint="eastAsia" w:ascii="Times New Roman" w:hAnsi="Times New Roman" w:cs="Times New Roman"/>
                      <w:i w:val="0"/>
                      <w:color w:val="auto"/>
                      <w:kern w:val="0"/>
                      <w:sz w:val="21"/>
                      <w:szCs w:val="21"/>
                      <w:highlight w:val="none"/>
                      <w:u w:val="none"/>
                      <w:lang w:val="en-US" w:eastAsia="zh-CN" w:bidi="ar"/>
                    </w:rPr>
                    <w:t>“雾炮抑尘</w:t>
                  </w:r>
                  <w:r>
                    <w:rPr>
                      <w:rFonts w:hint="default" w:ascii="Times New Roman" w:hAnsi="Times New Roman" w:eastAsia="宋体" w:cs="Times New Roman"/>
                      <w:i w:val="0"/>
                      <w:color w:val="auto"/>
                      <w:kern w:val="0"/>
                      <w:sz w:val="21"/>
                      <w:szCs w:val="21"/>
                      <w:highlight w:val="none"/>
                      <w:u w:val="none"/>
                      <w:lang w:val="en-US" w:eastAsia="zh-CN" w:bidi="ar"/>
                    </w:rPr>
                    <w:t>设施</w:t>
                  </w:r>
                  <w:r>
                    <w:rPr>
                      <w:rFonts w:hint="eastAsia"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处理</w:t>
                  </w:r>
                  <w:r>
                    <w:rPr>
                      <w:rFonts w:hint="eastAsia" w:ascii="Times New Roman" w:hAnsi="Times New Roman" w:cs="Times New Roman"/>
                      <w:i w:val="0"/>
                      <w:color w:val="auto"/>
                      <w:kern w:val="0"/>
                      <w:sz w:val="21"/>
                      <w:szCs w:val="21"/>
                      <w:highlight w:val="none"/>
                      <w:u w:val="none"/>
                      <w:lang w:val="en-US" w:eastAsia="zh-CN" w:bidi="ar"/>
                    </w:rPr>
                    <w:t>（射程分别为60m和80m）。</w:t>
                  </w:r>
                </w:p>
              </w:tc>
              <w:tc>
                <w:tcPr>
                  <w:tcW w:w="1248" w:type="pct"/>
                  <w:gridSpan w:val="2"/>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一次破碎和筛分废气由有组织排放变为无组织排放</w:t>
                  </w:r>
                  <w:r>
                    <w:rPr>
                      <w:rFonts w:hint="eastAsia" w:ascii="Times New Roman" w:hAnsi="Times New Roman" w:cs="Times New Roman"/>
                      <w:i w:val="0"/>
                      <w:color w:val="auto"/>
                      <w:kern w:val="0"/>
                      <w:sz w:val="21"/>
                      <w:szCs w:val="21"/>
                      <w:highlight w:val="none"/>
                      <w:u w:val="none"/>
                      <w:lang w:val="en-US" w:eastAsia="zh-CN" w:bidi="ar"/>
                    </w:rPr>
                    <w:t>，经《项目变动环境影响补充说明》核算及专家评审，项目无组织粉尘排放量增加0.1t/a（环评时项目无组织粉尘排放量1.66t/a），变动导致项目无组织排放量增加6%，低于10%，不属于重大变动</w:t>
                  </w:r>
                  <w:r>
                    <w:rPr>
                      <w:rFonts w:hint="eastAsia"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8" w:hRule="atLeast"/>
                <w:jc w:val="center"/>
              </w:trPr>
              <w:tc>
                <w:tcPr>
                  <w:tcW w:w="1870" w:type="pct"/>
                  <w:tcBorders>
                    <w:left w:val="single" w:color="auto" w:sz="4" w:space="0"/>
                  </w:tcBorders>
                  <w:noWrap w:val="0"/>
                  <w:tcMar>
                    <w:left w:w="0" w:type="dxa"/>
                    <w:right w:w="0" w:type="dxa"/>
                  </w:tcMar>
                  <w:vAlign w:val="center"/>
                </w:tcPr>
                <w:p>
                  <w:pPr>
                    <w:pStyle w:val="43"/>
                    <w:keepNext w:val="0"/>
                    <w:keepLines w:val="0"/>
                    <w:pageBreakBefore w:val="0"/>
                    <w:widowControl/>
                    <w:kinsoku/>
                    <w:wordWrap/>
                    <w:overflowPunct/>
                    <w:topLinePunct w:val="0"/>
                    <w:autoSpaceDE/>
                    <w:autoSpaceDN/>
                    <w:bidi w:val="0"/>
                    <w:adjustRightInd w:val="0"/>
                    <w:snapToGrid/>
                    <w:spacing w:line="240" w:lineRule="auto"/>
                    <w:ind w:firstLine="0" w:firstLineChars="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筛分处理后，筛上的粗物料（≥10目）由密闭皮带输送机输送至搅拌工序进行混合搅拌均匀，生成产品路基垫层；根据产品需求，在筛上的粗物料基础上，添加其他物料（比如碎石子）进行搅拌，生成路基垫层输送至路基垫层堆场。</w:t>
                  </w:r>
                </w:p>
              </w:tc>
              <w:tc>
                <w:tcPr>
                  <w:tcW w:w="1880" w:type="pct"/>
                  <w:gridSpan w:val="2"/>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取消搅拌工序，生成的路基垫层产品直接输送至路基垫层产品堆场。</w:t>
                  </w:r>
                </w:p>
              </w:tc>
              <w:tc>
                <w:tcPr>
                  <w:tcW w:w="1248" w:type="pct"/>
                  <w:gridSpan w:val="2"/>
                  <w:noWrap w:val="0"/>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取消搅拌工序，</w:t>
                  </w:r>
                  <w:r>
                    <w:rPr>
                      <w:rFonts w:hint="eastAsia" w:ascii="Times New Roman" w:hAnsi="Times New Roman" w:cs="Times New Roman"/>
                      <w:color w:val="auto"/>
                      <w:sz w:val="21"/>
                      <w:szCs w:val="21"/>
                      <w:highlight w:val="none"/>
                      <w:lang w:val="en-US" w:eastAsia="zh-CN"/>
                    </w:rPr>
                    <w:t>不新增污染物排放，</w:t>
                  </w:r>
                  <w:r>
                    <w:rPr>
                      <w:rFonts w:hint="eastAsia" w:ascii="Times New Roman" w:hAnsi="Times New Roman" w:cs="Times New Roman"/>
                      <w:i w:val="0"/>
                      <w:color w:val="auto"/>
                      <w:kern w:val="0"/>
                      <w:sz w:val="21"/>
                      <w:szCs w:val="21"/>
                      <w:highlight w:val="none"/>
                      <w:u w:val="none"/>
                      <w:lang w:val="en-US" w:eastAsia="zh-CN" w:bidi="ar"/>
                    </w:rPr>
                    <w:t>不属于重大变动</w:t>
                  </w:r>
                  <w:r>
                    <w:rPr>
                      <w:rFonts w:hint="eastAsia" w:ascii="Times New Roman" w:hAnsi="Times New Roman" w:eastAsia="宋体" w:cs="Times New Roman"/>
                      <w:i w:val="0"/>
                      <w:color w:val="auto"/>
                      <w:kern w:val="0"/>
                      <w:sz w:val="21"/>
                      <w:szCs w:val="21"/>
                      <w:highlight w:val="none"/>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auto"/>
                <w:sz w:val="24"/>
                <w:szCs w:val="24"/>
                <w:highlight w:val="none"/>
                <w:lang w:val="en-US" w:eastAsia="zh-CN"/>
              </w:rPr>
            </w:pPr>
          </w:p>
          <w:p>
            <w:pPr>
              <w:pStyle w:val="7"/>
              <w:bidi w:val="0"/>
              <w:rPr>
                <w:rFonts w:hint="default"/>
                <w:color w:val="auto"/>
                <w:lang w:val="en-US" w:eastAsia="zh-CN"/>
              </w:rPr>
            </w:pPr>
            <w:r>
              <w:rPr>
                <w:rFonts w:hint="eastAsia"/>
                <w:color w:val="auto"/>
                <w:lang w:val="en-US" w:eastAsia="zh-CN"/>
              </w:rPr>
              <w:t>2.5.1</w:t>
            </w:r>
            <w:r>
              <w:rPr>
                <w:rFonts w:hint="default"/>
                <w:color w:val="auto"/>
                <w:lang w:val="en-US" w:eastAsia="zh-CN"/>
              </w:rPr>
              <w:t>环评时</w:t>
            </w:r>
            <w:r>
              <w:rPr>
                <w:rFonts w:hint="eastAsia"/>
                <w:color w:val="auto"/>
                <w:lang w:val="en-US" w:eastAsia="zh-CN"/>
              </w:rPr>
              <w:t>生产</w:t>
            </w:r>
            <w:r>
              <w:rPr>
                <w:rFonts w:hint="default"/>
                <w:color w:val="auto"/>
                <w:lang w:val="en-US" w:eastAsia="zh-CN"/>
              </w:rPr>
              <w:t>工艺</w:t>
            </w:r>
            <w:r>
              <w:rPr>
                <w:rFonts w:hint="eastAsia"/>
                <w:color w:val="auto"/>
                <w:lang w:val="en-US" w:eastAsia="zh-CN"/>
              </w:rPr>
              <w:t>及产污环节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b w:val="0"/>
                <w:bCs/>
                <w:color w:val="1919FF"/>
                <w:sz w:val="24"/>
                <w:szCs w:val="24"/>
                <w:highlight w:val="none"/>
                <w:lang w:val="en-US" w:eastAsia="zh-CN"/>
              </w:rPr>
            </w:pPr>
            <w:r>
              <w:rPr>
                <w:rFonts w:hint="eastAsia" w:ascii="Times New Roman" w:hAnsi="Times New Roman" w:cs="Times New Roman"/>
                <w:b w:val="0"/>
                <w:bCs/>
                <w:color w:val="1919FF"/>
                <w:sz w:val="24"/>
                <w:szCs w:val="24"/>
                <w:highlight w:val="none"/>
                <w:lang w:val="en-US" w:eastAsia="zh-CN"/>
              </w:rPr>
              <w:t>***涉密删除***</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b w:val="0"/>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b w:val="0"/>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环评</w:t>
            </w:r>
            <w:r>
              <w:rPr>
                <w:rFonts w:hint="eastAsia" w:ascii="Times New Roman" w:hAnsi="Times New Roman" w:cs="Times New Roman"/>
                <w:b w:val="0"/>
                <w:bCs/>
                <w:color w:val="auto"/>
                <w:sz w:val="24"/>
                <w:szCs w:val="24"/>
                <w:highlight w:val="none"/>
                <w:lang w:val="en-US" w:eastAsia="zh-CN"/>
              </w:rPr>
              <w:t>时</w:t>
            </w:r>
            <w:r>
              <w:rPr>
                <w:rFonts w:hint="default" w:ascii="Times New Roman" w:hAnsi="Times New Roman" w:cs="Times New Roman"/>
                <w:b w:val="0"/>
                <w:bCs/>
                <w:color w:val="auto"/>
                <w:sz w:val="24"/>
                <w:szCs w:val="24"/>
                <w:highlight w:val="none"/>
                <w:lang w:val="en-US" w:eastAsia="zh-CN"/>
              </w:rPr>
              <w:t>生产工艺流程及产污环节见图2.</w:t>
            </w:r>
            <w:r>
              <w:rPr>
                <w:rFonts w:hint="eastAsia" w:ascii="Times New Roman" w:hAnsi="Times New Roman"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lang w:val="en-US" w:eastAsia="zh-CN"/>
              </w:rPr>
              <w:t>-1。</w:t>
            </w:r>
          </w:p>
          <w:p>
            <w:pPr>
              <w:pStyle w:val="7"/>
              <w:bidi w:val="0"/>
              <w:rPr>
                <w:rFonts w:hint="default"/>
                <w:color w:val="auto"/>
                <w:lang w:val="en-US" w:eastAsia="zh-CN"/>
              </w:rPr>
            </w:pPr>
            <w:r>
              <w:rPr>
                <w:rFonts w:hint="eastAsia"/>
                <w:color w:val="auto"/>
                <w:lang w:val="en-US" w:eastAsia="zh-CN"/>
              </w:rPr>
              <w:t>2.5.2验收</w:t>
            </w:r>
            <w:r>
              <w:rPr>
                <w:rFonts w:hint="default"/>
                <w:color w:val="auto"/>
                <w:lang w:val="en-US" w:eastAsia="zh-CN"/>
              </w:rPr>
              <w:t>时</w:t>
            </w:r>
            <w:r>
              <w:rPr>
                <w:rFonts w:hint="eastAsia"/>
                <w:color w:val="auto"/>
                <w:lang w:val="en-US" w:eastAsia="zh-CN"/>
              </w:rPr>
              <w:t>生产</w:t>
            </w:r>
            <w:r>
              <w:rPr>
                <w:rFonts w:hint="default"/>
                <w:color w:val="auto"/>
                <w:lang w:val="en-US" w:eastAsia="zh-CN"/>
              </w:rPr>
              <w:t>工艺</w:t>
            </w:r>
            <w:r>
              <w:rPr>
                <w:rFonts w:hint="eastAsia"/>
                <w:color w:val="auto"/>
                <w:lang w:val="en-US" w:eastAsia="zh-CN"/>
              </w:rPr>
              <w:t>及产污环节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b w:val="0"/>
                <w:bCs/>
                <w:color w:val="1919FF"/>
                <w:sz w:val="24"/>
                <w:szCs w:val="24"/>
                <w:highlight w:val="none"/>
                <w:lang w:val="en-US" w:eastAsia="zh-CN"/>
              </w:rPr>
            </w:pPr>
            <w:r>
              <w:rPr>
                <w:rFonts w:hint="eastAsia" w:ascii="Times New Roman" w:hAnsi="Times New Roman" w:cs="Times New Roman"/>
                <w:b w:val="0"/>
                <w:bCs/>
                <w:color w:val="1919FF"/>
                <w:sz w:val="24"/>
                <w:szCs w:val="24"/>
                <w:highlight w:val="none"/>
                <w:lang w:val="en-US" w:eastAsia="zh-CN"/>
              </w:rPr>
              <w:t>***涉密删除***</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0" w:rightChars="0" w:firstLine="480" w:firstLineChars="200"/>
              <w:jc w:val="both"/>
              <w:textAlignment w:val="auto"/>
              <w:outlineLvl w:val="9"/>
              <w:rPr>
                <w:rFonts w:hint="eastAsia" w:ascii="Times New Roman" w:hAnsi="Times New Roman" w:cs="Times New Roman"/>
                <w:b w:val="0"/>
                <w:bCs/>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0" w:rightChars="0" w:firstLine="480" w:firstLineChars="200"/>
              <w:jc w:val="both"/>
              <w:textAlignment w:val="auto"/>
              <w:outlineLvl w:val="9"/>
              <w:rPr>
                <w:rFonts w:hint="eastAsia" w:ascii="Times New Roman" w:hAnsi="Times New Roman" w:cs="Times New Roman"/>
                <w:b w:val="0"/>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验收时</w:t>
            </w:r>
            <w:r>
              <w:rPr>
                <w:rFonts w:hint="default" w:ascii="Times New Roman" w:hAnsi="Times New Roman" w:cs="Times New Roman"/>
                <w:b w:val="0"/>
                <w:bCs/>
                <w:color w:val="auto"/>
                <w:sz w:val="24"/>
                <w:szCs w:val="24"/>
                <w:highlight w:val="none"/>
                <w:lang w:val="en-US" w:eastAsia="zh-CN"/>
              </w:rPr>
              <w:t>生产工艺流程及产污环节见图2.</w:t>
            </w:r>
            <w:r>
              <w:rPr>
                <w:rFonts w:hint="eastAsia" w:ascii="Times New Roman" w:hAnsi="Times New Roman"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lang w:val="en-US" w:eastAsia="zh-CN"/>
              </w:rPr>
              <w:t>-</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w:t>
            </w:r>
          </w:p>
          <w:p>
            <w:pPr>
              <w:pStyle w:val="38"/>
              <w:keepNext w:val="0"/>
              <w:keepLines w:val="0"/>
              <w:pageBreakBefore w:val="0"/>
              <w:widowControl w:val="0"/>
              <w:kinsoku/>
              <w:wordWrap/>
              <w:overflowPunct/>
              <w:topLinePunct w:val="0"/>
              <w:bidi w:val="0"/>
              <w:adjustRightInd w:val="0"/>
              <w:snapToGrid w:val="0"/>
              <w:ind w:left="0" w:leftChars="0" w:firstLine="0" w:firstLineChars="0"/>
              <w:jc w:val="center"/>
              <w:textAlignment w:val="auto"/>
              <w:outlineLvl w:val="9"/>
              <w:rPr>
                <w:rFonts w:hint="default" w:ascii="Times New Roman" w:hAnsi="Times New Roman" w:eastAsia="黑体" w:cs="Times New Roman"/>
                <w:color w:val="auto"/>
                <w:sz w:val="24"/>
                <w:highlight w:val="none"/>
                <w:lang w:val="en-US" w:eastAsia="zh-CN"/>
              </w:rPr>
            </w:pPr>
          </w:p>
          <w:p>
            <w:pPr>
              <w:pStyle w:val="9"/>
              <w:bidi w:val="0"/>
              <w:rPr>
                <w:rFonts w:hint="default"/>
                <w:color w:val="auto"/>
                <w:lang w:val="en-US" w:eastAsia="zh-CN"/>
              </w:rPr>
            </w:pPr>
            <w:r>
              <w:rPr>
                <w:rFonts w:hint="default"/>
                <w:color w:val="auto"/>
                <w:lang w:val="en-US" w:eastAsia="zh-CN"/>
              </w:rPr>
              <w:t>图2.</w:t>
            </w:r>
            <w:r>
              <w:rPr>
                <w:rFonts w:hint="eastAsia"/>
                <w:color w:val="auto"/>
                <w:lang w:val="en-US" w:eastAsia="zh-CN"/>
              </w:rPr>
              <w:t>5</w:t>
            </w:r>
            <w:r>
              <w:rPr>
                <w:rFonts w:hint="default"/>
                <w:color w:val="auto"/>
                <w:lang w:val="en-US" w:eastAsia="zh-CN"/>
              </w:rPr>
              <w:t xml:space="preserve">-1  </w:t>
            </w:r>
            <w:r>
              <w:rPr>
                <w:rFonts w:hint="eastAsia"/>
                <w:color w:val="auto"/>
                <w:lang w:val="en-US" w:eastAsia="zh-CN"/>
              </w:rPr>
              <w:t>环评时</w:t>
            </w:r>
            <w:r>
              <w:rPr>
                <w:rFonts w:hint="default"/>
                <w:color w:val="auto"/>
                <w:lang w:val="en-US" w:eastAsia="zh-CN"/>
              </w:rPr>
              <w:t>生产工艺及产污环节图</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hint="default" w:ascii="Times New Roman" w:hAnsi="Times New Roman" w:cs="Times New Roman"/>
                <w:b w:val="0"/>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hint="default" w:ascii="Times New Roman" w:hAnsi="Times New Roman" w:cs="Times New Roman"/>
                <w:b w:val="0"/>
                <w:bCs/>
                <w:color w:val="auto"/>
                <w:sz w:val="24"/>
                <w:szCs w:val="24"/>
                <w:highlight w:val="none"/>
                <w:lang w:val="en-US" w:eastAsia="zh-CN"/>
              </w:rPr>
            </w:pPr>
          </w:p>
          <w:p>
            <w:pPr>
              <w:pStyle w:val="9"/>
              <w:bidi w:val="0"/>
              <w:rPr>
                <w:rFonts w:hint="default"/>
                <w:color w:val="auto"/>
                <w:lang w:val="en-US" w:eastAsia="zh-CN"/>
              </w:rPr>
            </w:pPr>
            <w:r>
              <w:rPr>
                <w:rFonts w:hint="default"/>
                <w:color w:val="auto"/>
                <w:lang w:val="en-US" w:eastAsia="zh-CN"/>
              </w:rPr>
              <w:t>图2.</w:t>
            </w:r>
            <w:r>
              <w:rPr>
                <w:rFonts w:hint="eastAsia"/>
                <w:color w:val="auto"/>
                <w:lang w:val="en-US" w:eastAsia="zh-CN"/>
              </w:rPr>
              <w:t>5</w:t>
            </w:r>
            <w:r>
              <w:rPr>
                <w:rFonts w:hint="default"/>
                <w:color w:val="auto"/>
                <w:lang w:val="en-US" w:eastAsia="zh-CN"/>
              </w:rPr>
              <w:t>-</w:t>
            </w:r>
            <w:r>
              <w:rPr>
                <w:rFonts w:hint="eastAsia"/>
                <w:color w:val="auto"/>
                <w:lang w:val="en-US" w:eastAsia="zh-CN"/>
              </w:rPr>
              <w:t>2</w:t>
            </w:r>
            <w:r>
              <w:rPr>
                <w:rFonts w:hint="default"/>
                <w:color w:val="auto"/>
                <w:lang w:val="en-US" w:eastAsia="zh-CN"/>
              </w:rPr>
              <w:t xml:space="preserve">  </w:t>
            </w:r>
            <w:r>
              <w:rPr>
                <w:rFonts w:hint="eastAsia"/>
                <w:color w:val="auto"/>
                <w:lang w:val="en-US" w:eastAsia="zh-CN"/>
              </w:rPr>
              <w:t>验收时</w:t>
            </w:r>
            <w:r>
              <w:rPr>
                <w:rFonts w:hint="default"/>
                <w:color w:val="auto"/>
                <w:lang w:val="en-US" w:eastAsia="zh-CN"/>
              </w:rPr>
              <w:t>生产工艺及产污环节图</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eastAsia="zh-CN"/>
              </w:rPr>
            </w:pPr>
          </w:p>
          <w:p>
            <w:pPr>
              <w:pStyle w:val="38"/>
              <w:ind w:left="0" w:leftChars="0" w:firstLine="0" w:firstLineChars="0"/>
              <w:rPr>
                <w:rFonts w:hint="default" w:ascii="Times New Roman" w:hAnsi="Times New Roman" w:eastAsia="宋体" w:cs="Times New Roman"/>
                <w:bCs/>
                <w:color w:val="auto"/>
                <w:kern w:val="2"/>
                <w:sz w:val="24"/>
                <w:szCs w:val="24"/>
                <w:highlight w:val="none"/>
                <w:lang w:val="en-US" w:eastAsia="zh-CN" w:bidi="ar-SA"/>
              </w:rPr>
            </w:pPr>
          </w:p>
        </w:tc>
      </w:tr>
    </w:tbl>
    <w:p>
      <w:pPr>
        <w:rPr>
          <w:rFonts w:hint="default" w:ascii="Times New Roman" w:hAnsi="Times New Roman" w:cs="Times New Roman"/>
          <w:color w:val="auto"/>
          <w:highlight w:val="none"/>
          <w:lang w:eastAsia="zh-CN"/>
        </w:rPr>
        <w:sectPr>
          <w:pgSz w:w="11906" w:h="16838"/>
          <w:pgMar w:top="1417" w:right="1417" w:bottom="1417" w:left="1417" w:header="851" w:footer="992" w:gutter="0"/>
          <w:pgNumType w:fmt="decimal"/>
          <w:cols w:space="720" w:num="1"/>
          <w:rtlGutter w:val="0"/>
          <w:docGrid w:type="lines" w:linePitch="318" w:charSpace="0"/>
        </w:sectPr>
      </w:pPr>
    </w:p>
    <w:p>
      <w:pPr>
        <w:pStyle w:val="6"/>
        <w:keepNext/>
        <w:keepLines w:val="0"/>
        <w:pageBreakBefore w:val="0"/>
        <w:widowControl w:val="0"/>
        <w:kinsoku/>
        <w:wordWrap/>
        <w:overflowPunct/>
        <w:topLinePunct w:val="0"/>
        <w:autoSpaceDE/>
        <w:autoSpaceDN/>
        <w:bidi w:val="0"/>
        <w:adjustRightInd/>
        <w:snapToGrid/>
        <w:spacing w:after="160" w:afterLines="50"/>
        <w:textAlignment w:val="auto"/>
        <w:rPr>
          <w:rFonts w:hint="default" w:ascii="Times New Roman" w:hAnsi="Times New Roman" w:cs="Times New Roman"/>
          <w:color w:val="auto"/>
          <w:highlight w:val="none"/>
          <w:lang w:val="en-US" w:eastAsia="zh-CN"/>
        </w:rPr>
      </w:pPr>
      <w:bookmarkStart w:id="18" w:name="_Toc18360"/>
      <w:r>
        <w:rPr>
          <w:rFonts w:hint="default" w:ascii="Times New Roman" w:hAnsi="Times New Roman" w:cs="Times New Roman"/>
          <w:color w:val="auto"/>
          <w:highlight w:val="none"/>
          <w:lang w:val="en-US" w:eastAsia="zh-CN"/>
        </w:rPr>
        <w:t>2.6工程变动情况</w:t>
      </w:r>
      <w:bookmarkEnd w:id="18"/>
    </w:p>
    <w:p>
      <w:pPr>
        <w:pStyle w:val="38"/>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根据现场调查，并</w:t>
      </w:r>
      <w:r>
        <w:rPr>
          <w:rFonts w:hint="default" w:ascii="Times New Roman" w:hAnsi="Times New Roman" w:cs="Times New Roman"/>
          <w:color w:val="auto"/>
          <w:sz w:val="24"/>
          <w:szCs w:val="24"/>
          <w:highlight w:val="none"/>
          <w:lang w:eastAsia="zh-CN"/>
        </w:rPr>
        <w:t>对照《污染影响类建设项目重大变动清单（试行）》（环办环评函〔2020〕688号），</w:t>
      </w:r>
      <w:r>
        <w:rPr>
          <w:rFonts w:hint="default" w:ascii="Times New Roman" w:hAnsi="Times New Roman"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验收</w:t>
      </w:r>
      <w:r>
        <w:rPr>
          <w:rFonts w:hint="default" w:ascii="Times New Roman" w:hAnsi="Times New Roman" w:cs="Times New Roman"/>
          <w:color w:val="auto"/>
          <w:sz w:val="24"/>
          <w:szCs w:val="24"/>
          <w:highlight w:val="none"/>
          <w:lang w:val="en-US" w:eastAsia="zh-CN"/>
        </w:rPr>
        <w:t>建设内容变动情况见表2.6-1。从表2.6-1中可见，项目</w:t>
      </w:r>
      <w:r>
        <w:rPr>
          <w:rFonts w:hint="eastAsia" w:ascii="Times New Roman" w:hAnsi="Times New Roman" w:cs="Times New Roman"/>
          <w:color w:val="auto"/>
          <w:sz w:val="24"/>
          <w:szCs w:val="24"/>
          <w:highlight w:val="none"/>
          <w:lang w:val="en-US" w:eastAsia="zh-CN"/>
        </w:rPr>
        <w:t>验收</w:t>
      </w:r>
      <w:r>
        <w:rPr>
          <w:rFonts w:hint="default" w:ascii="Times New Roman" w:hAnsi="Times New Roman" w:cs="Times New Roman"/>
          <w:color w:val="auto"/>
          <w:sz w:val="24"/>
          <w:szCs w:val="24"/>
          <w:highlight w:val="none"/>
          <w:lang w:val="en-US" w:eastAsia="zh-CN"/>
        </w:rPr>
        <w:t>涉及的变动内容不属重大变动。</w:t>
      </w: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lang w:val="en-US" w:eastAsia="zh-CN"/>
        </w:rPr>
      </w:pPr>
      <w:r>
        <w:rPr>
          <w:rFonts w:hint="default" w:ascii="Times New Roman" w:hAnsi="Times New Roman" w:cs="宋体"/>
          <w:color w:val="auto"/>
          <w:lang w:val="en-US" w:eastAsia="zh-CN"/>
        </w:rPr>
        <w:t>表2.6-1  项目验收重大变动清单对照分析一览表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7"/>
        <w:gridCol w:w="7268"/>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cs="Times New Roman"/>
                <w:b/>
                <w:bCs w:val="0"/>
                <w:color w:val="auto"/>
                <w:kern w:val="2"/>
                <w:sz w:val="21"/>
                <w:szCs w:val="21"/>
                <w:vertAlign w:val="baseline"/>
                <w:lang w:val="en-US" w:eastAsia="zh-CN" w:bidi="ar-SA"/>
              </w:rPr>
              <w:t>重大变动清单要求</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cs="Times New Roman"/>
                <w:b/>
                <w:bCs w:val="0"/>
                <w:color w:val="auto"/>
                <w:kern w:val="2"/>
                <w:sz w:val="21"/>
                <w:szCs w:val="21"/>
                <w:vertAlign w:val="baseline"/>
                <w:lang w:val="en-US" w:eastAsia="zh-CN" w:bidi="ar-SA"/>
              </w:rPr>
              <w:t>变动情况</w:t>
            </w:r>
          </w:p>
        </w:tc>
        <w:tc>
          <w:tcPr>
            <w:tcW w:w="40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val="0"/>
                <w:color w:val="auto"/>
                <w:kern w:val="2"/>
                <w:sz w:val="21"/>
                <w:szCs w:val="21"/>
                <w:vertAlign w:val="baseline"/>
                <w:lang w:val="en-US" w:eastAsia="zh-CN" w:bidi="ar-SA"/>
              </w:rPr>
            </w:pPr>
            <w:r>
              <w:rPr>
                <w:rFonts w:hint="eastAsia" w:cs="Times New Roman"/>
                <w:b/>
                <w:bCs w:val="0"/>
                <w:color w:val="auto"/>
                <w:kern w:val="2"/>
                <w:sz w:val="21"/>
                <w:szCs w:val="21"/>
                <w:vertAlign w:val="baseline"/>
                <w:lang w:val="en-US" w:eastAsia="zh-CN" w:bidi="ar-SA"/>
              </w:rPr>
              <w:t>是否为</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cs="Times New Roman"/>
                <w:b/>
                <w:bCs w:val="0"/>
                <w:color w:val="auto"/>
                <w:kern w:val="2"/>
                <w:sz w:val="21"/>
                <w:szCs w:val="21"/>
                <w:vertAlign w:val="baseline"/>
                <w:lang w:val="en-US" w:eastAsia="zh-CN" w:bidi="ar-SA"/>
              </w:rPr>
              <w:t>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1.建设项目开发、使用功能发生变化的。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项目</w:t>
            </w:r>
            <w:r>
              <w:rPr>
                <w:rFonts w:hint="default" w:ascii="Times New Roman" w:hAnsi="Times New Roman" w:eastAsia="宋体" w:cs="Times New Roman"/>
                <w:bCs/>
                <w:color w:val="auto"/>
                <w:kern w:val="2"/>
                <w:sz w:val="21"/>
                <w:szCs w:val="21"/>
                <w:vertAlign w:val="baseline"/>
                <w:lang w:val="en-US" w:eastAsia="zh-CN" w:bidi="ar-SA"/>
              </w:rPr>
              <w:t>开发、使用功能</w:t>
            </w:r>
            <w:r>
              <w:rPr>
                <w:rFonts w:hint="eastAsia" w:ascii="Times New Roman" w:hAnsi="Times New Roman" w:eastAsia="宋体" w:cs="Times New Roman"/>
                <w:bCs/>
                <w:color w:val="auto"/>
                <w:kern w:val="2"/>
                <w:sz w:val="21"/>
                <w:szCs w:val="21"/>
                <w:vertAlign w:val="baseline"/>
                <w:lang w:val="en-US" w:eastAsia="zh-CN" w:bidi="ar-SA"/>
              </w:rPr>
              <w:t>不变</w:t>
            </w:r>
            <w:r>
              <w:rPr>
                <w:rFonts w:hint="eastAsia" w:ascii="Times New Roman" w:hAnsi="Times New Roman" w:cs="Times New Roman"/>
                <w:bCs/>
                <w:color w:val="auto"/>
                <w:kern w:val="2"/>
                <w:sz w:val="21"/>
                <w:szCs w:val="21"/>
                <w:vertAlign w:val="baseline"/>
                <w:lang w:val="en-US" w:eastAsia="zh-CN" w:bidi="ar-SA"/>
              </w:rPr>
              <w:t>。</w:t>
            </w:r>
          </w:p>
        </w:tc>
        <w:tc>
          <w:tcPr>
            <w:tcW w:w="40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2.生产、处置或储存能力增大30%及以上的。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（1）项目</w:t>
            </w:r>
            <w:r>
              <w:rPr>
                <w:rFonts w:hint="default" w:ascii="Times New Roman" w:hAnsi="Times New Roman" w:eastAsia="宋体" w:cs="Times New Roman"/>
                <w:bCs/>
                <w:color w:val="auto"/>
                <w:kern w:val="2"/>
                <w:sz w:val="21"/>
                <w:szCs w:val="21"/>
                <w:vertAlign w:val="baseline"/>
                <w:lang w:val="en-US" w:eastAsia="zh-CN" w:bidi="ar-SA"/>
              </w:rPr>
              <w:t>生产、处置</w:t>
            </w:r>
            <w:r>
              <w:rPr>
                <w:rFonts w:hint="eastAsia" w:ascii="Times New Roman" w:hAnsi="Times New Roman" w:eastAsia="宋体" w:cs="Times New Roman"/>
                <w:bCs/>
                <w:color w:val="auto"/>
                <w:kern w:val="2"/>
                <w:sz w:val="21"/>
                <w:szCs w:val="21"/>
                <w:vertAlign w:val="baseline"/>
                <w:lang w:val="en-US" w:eastAsia="zh-CN" w:bidi="ar-SA"/>
              </w:rPr>
              <w:t>能力保持处理钢渣60万t/a不变。</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kern w:val="2"/>
                <w:sz w:val="21"/>
                <w:szCs w:val="21"/>
                <w:vertAlign w:val="baseline"/>
                <w:lang w:val="en-US" w:eastAsia="zh-CN" w:bidi="ar-SA"/>
              </w:rPr>
              <w:t>（2）</w:t>
            </w:r>
            <w:r>
              <w:rPr>
                <w:rFonts w:hint="eastAsia" w:ascii="Times New Roman" w:hAnsi="Times New Roman" w:eastAsia="宋体" w:cs="Times New Roman"/>
                <w:color w:val="auto"/>
                <w:sz w:val="21"/>
                <w:szCs w:val="21"/>
                <w:highlight w:val="none"/>
                <w:lang w:val="en-US" w:eastAsia="zh-CN"/>
              </w:rPr>
              <w:t>厂房内新增1个</w:t>
            </w:r>
            <w:r>
              <w:rPr>
                <w:rFonts w:hint="eastAsia" w:ascii="Times New Roman" w:hAnsi="Times New Roman" w:cs="Times New Roman"/>
                <w:color w:val="auto"/>
                <w:sz w:val="21"/>
                <w:szCs w:val="21"/>
                <w:highlight w:val="none"/>
                <w:lang w:val="en-US" w:eastAsia="zh-CN"/>
              </w:rPr>
              <w:t>100m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中间产品临时堆场，储存能力增加7.7%（环评时原料堆场300m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，成品堆场1000m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），储存能力增加量小于30%，不属重大变动。</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3.生产、处置或储存能力增大，导致废水第一类污染物排放量增加的。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（1）项目</w:t>
            </w:r>
            <w:r>
              <w:rPr>
                <w:rFonts w:hint="default" w:ascii="Times New Roman" w:hAnsi="Times New Roman" w:eastAsia="宋体" w:cs="Times New Roman"/>
                <w:bCs/>
                <w:color w:val="auto"/>
                <w:kern w:val="2"/>
                <w:sz w:val="21"/>
                <w:szCs w:val="21"/>
                <w:vertAlign w:val="baseline"/>
                <w:lang w:val="en-US" w:eastAsia="zh-CN" w:bidi="ar-SA"/>
              </w:rPr>
              <w:t>生产、处置</w:t>
            </w:r>
            <w:r>
              <w:rPr>
                <w:rFonts w:hint="eastAsia" w:ascii="Times New Roman" w:hAnsi="Times New Roman" w:eastAsia="宋体" w:cs="Times New Roman"/>
                <w:bCs/>
                <w:color w:val="auto"/>
                <w:kern w:val="2"/>
                <w:sz w:val="21"/>
                <w:szCs w:val="21"/>
                <w:vertAlign w:val="baseline"/>
                <w:lang w:val="en-US" w:eastAsia="zh-CN" w:bidi="ar-SA"/>
              </w:rPr>
              <w:t>能力不变；</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kern w:val="2"/>
                <w:sz w:val="21"/>
                <w:szCs w:val="21"/>
                <w:vertAlign w:val="baseline"/>
                <w:lang w:val="en-US" w:eastAsia="zh-CN" w:bidi="ar-SA"/>
              </w:rPr>
              <w:t>（2）</w:t>
            </w:r>
            <w:r>
              <w:rPr>
                <w:rFonts w:hint="eastAsia" w:ascii="Times New Roman" w:hAnsi="Times New Roman" w:eastAsia="宋体" w:cs="Times New Roman"/>
                <w:color w:val="auto"/>
                <w:sz w:val="21"/>
                <w:szCs w:val="21"/>
                <w:highlight w:val="none"/>
                <w:lang w:val="en-US" w:eastAsia="zh-CN"/>
              </w:rPr>
              <w:t>厂房内新增1个</w:t>
            </w:r>
            <w:r>
              <w:rPr>
                <w:rFonts w:hint="eastAsia" w:ascii="Times New Roman" w:hAnsi="Times New Roman" w:cs="Times New Roman"/>
                <w:color w:val="auto"/>
                <w:sz w:val="21"/>
                <w:szCs w:val="21"/>
                <w:highlight w:val="none"/>
                <w:lang w:val="en-US" w:eastAsia="zh-CN"/>
              </w:rPr>
              <w:t>100m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中间产品临时堆场不会导致项目</w:t>
            </w:r>
            <w:r>
              <w:rPr>
                <w:rFonts w:hint="default" w:ascii="Times New Roman" w:hAnsi="Times New Roman" w:eastAsia="宋体" w:cs="Times New Roman"/>
                <w:bCs/>
                <w:color w:val="auto"/>
                <w:kern w:val="2"/>
                <w:sz w:val="21"/>
                <w:szCs w:val="21"/>
                <w:vertAlign w:val="baseline"/>
                <w:lang w:val="en-US" w:eastAsia="zh-CN" w:bidi="ar-SA"/>
              </w:rPr>
              <w:t>废水第一类污染物排放量增加</w:t>
            </w:r>
            <w:r>
              <w:rPr>
                <w:rFonts w:hint="eastAsia" w:ascii="Times New Roman" w:hAnsi="Times New Roman" w:eastAsia="宋体" w:cs="Times New Roman"/>
                <w:bCs/>
                <w:color w:val="auto"/>
                <w:kern w:val="2"/>
                <w:sz w:val="21"/>
                <w:szCs w:val="21"/>
                <w:vertAlign w:val="baseline"/>
                <w:lang w:val="en-US" w:eastAsia="zh-CN" w:bidi="ar-SA"/>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项目</w:t>
            </w:r>
            <w:r>
              <w:rPr>
                <w:rFonts w:hint="default" w:ascii="Times New Roman" w:hAnsi="Times New Roman" w:eastAsia="宋体" w:cs="Times New Roman"/>
                <w:bCs/>
                <w:color w:val="auto"/>
                <w:kern w:val="2"/>
                <w:sz w:val="21"/>
                <w:szCs w:val="21"/>
                <w:highlight w:val="none"/>
                <w:vertAlign w:val="baseline"/>
                <w:lang w:val="en-US" w:eastAsia="zh-CN" w:bidi="ar-SA"/>
              </w:rPr>
              <w:t>位于达标区</w:t>
            </w:r>
            <w:r>
              <w:rPr>
                <w:rFonts w:hint="eastAsia" w:ascii="Times New Roman" w:hAnsi="Times New Roman" w:eastAsia="宋体" w:cs="Times New Roman"/>
                <w:bCs/>
                <w:color w:val="auto"/>
                <w:kern w:val="2"/>
                <w:sz w:val="21"/>
                <w:szCs w:val="21"/>
                <w:highlight w:val="none"/>
                <w:vertAlign w:val="baseline"/>
                <w:lang w:val="en-US" w:eastAsia="zh-CN" w:bidi="ar-SA"/>
              </w:rPr>
              <w:t>，</w:t>
            </w:r>
            <w:r>
              <w:rPr>
                <w:rFonts w:hint="default" w:ascii="Times New Roman" w:hAnsi="Times New Roman" w:eastAsia="宋体" w:cs="Times New Roman"/>
                <w:bCs/>
                <w:color w:val="auto"/>
                <w:kern w:val="2"/>
                <w:sz w:val="21"/>
                <w:szCs w:val="21"/>
                <w:vertAlign w:val="baseline"/>
                <w:lang w:val="en-US" w:eastAsia="zh-CN" w:bidi="ar-SA"/>
              </w:rPr>
              <w:t>生产、处置</w:t>
            </w:r>
            <w:r>
              <w:rPr>
                <w:rFonts w:hint="eastAsia" w:ascii="Times New Roman" w:hAnsi="Times New Roman" w:eastAsia="宋体" w:cs="Times New Roman"/>
                <w:bCs/>
                <w:color w:val="auto"/>
                <w:kern w:val="2"/>
                <w:sz w:val="21"/>
                <w:szCs w:val="21"/>
                <w:vertAlign w:val="baseline"/>
                <w:lang w:val="en-US" w:eastAsia="zh-CN" w:bidi="ar-SA"/>
              </w:rPr>
              <w:t>能力不变；</w:t>
            </w:r>
            <w:r>
              <w:rPr>
                <w:rFonts w:hint="eastAsia" w:ascii="Times New Roman" w:hAnsi="Times New Roman" w:eastAsia="宋体" w:cs="Times New Roman"/>
                <w:color w:val="auto"/>
                <w:sz w:val="21"/>
                <w:szCs w:val="21"/>
                <w:highlight w:val="none"/>
                <w:lang w:val="en-US" w:eastAsia="zh-CN"/>
              </w:rPr>
              <w:t>厂房内新增1个</w:t>
            </w:r>
            <w:r>
              <w:rPr>
                <w:rFonts w:hint="eastAsia" w:ascii="Times New Roman" w:hAnsi="Times New Roman" w:cs="Times New Roman"/>
                <w:color w:val="auto"/>
                <w:sz w:val="21"/>
                <w:szCs w:val="21"/>
                <w:highlight w:val="none"/>
                <w:lang w:val="en-US" w:eastAsia="zh-CN"/>
              </w:rPr>
              <w:t>100m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中间产品临时堆场不会</w:t>
            </w:r>
            <w:r>
              <w:rPr>
                <w:rFonts w:hint="default" w:ascii="Times New Roman" w:hAnsi="Times New Roman" w:eastAsia="宋体" w:cs="Times New Roman"/>
                <w:bCs/>
                <w:color w:val="auto"/>
                <w:kern w:val="2"/>
                <w:sz w:val="21"/>
                <w:szCs w:val="21"/>
                <w:vertAlign w:val="baseline"/>
                <w:lang w:val="en-US" w:eastAsia="zh-CN" w:bidi="ar-SA"/>
              </w:rPr>
              <w:t>导致污染物排放量增加10%及以上</w:t>
            </w:r>
            <w:r>
              <w:rPr>
                <w:rFonts w:hint="eastAsia" w:ascii="Times New Roman" w:hAnsi="Times New Roman" w:eastAsia="宋体" w:cs="Times New Roman"/>
                <w:bCs/>
                <w:color w:val="auto"/>
                <w:kern w:val="2"/>
                <w:sz w:val="21"/>
                <w:szCs w:val="21"/>
                <w:vertAlign w:val="baseline"/>
                <w:lang w:val="en-US" w:eastAsia="zh-CN" w:bidi="ar-SA"/>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5.重新选址；在原厂址附近调整（包括总平面布置变化）导致环境防护距离范围变化且新增敏感点的。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项目建设范围未超出现有厂房，总平布置变化均在现有厂房内进行局部调整，总平布局的变化没有</w:t>
            </w:r>
            <w:r>
              <w:rPr>
                <w:rFonts w:hint="default" w:ascii="Times New Roman" w:hAnsi="Times New Roman" w:eastAsia="宋体" w:cs="Times New Roman"/>
                <w:bCs/>
                <w:color w:val="auto"/>
                <w:kern w:val="2"/>
                <w:sz w:val="21"/>
                <w:szCs w:val="21"/>
                <w:vertAlign w:val="baseline"/>
                <w:lang w:val="en-US" w:eastAsia="zh-CN" w:bidi="ar-SA"/>
              </w:rPr>
              <w:t>导致环境防护距离范围变化且新增敏感点</w:t>
            </w:r>
            <w:r>
              <w:rPr>
                <w:rFonts w:hint="eastAsia" w:ascii="Times New Roman" w:hAnsi="Times New Roman" w:eastAsia="宋体" w:cs="Times New Roman"/>
                <w:bCs/>
                <w:color w:val="auto"/>
                <w:kern w:val="2"/>
                <w:sz w:val="21"/>
                <w:szCs w:val="21"/>
                <w:vertAlign w:val="baseline"/>
                <w:lang w:val="en-US" w:eastAsia="zh-CN" w:bidi="ar-SA"/>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6.新增产品品种或生产工艺（含主要生产装置、设备及配套设施）、主要原辅材料、燃料变化，导致以下情形之一：</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（1）新增排放污染物种类的（毒性、挥发性降低的除外）；</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（2）位于环境质量不达标区的建设项目相应污染物排放量增加的；</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（3）废水第一类污染物排放量增加的；</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（4）其他污染物排放量增加10%及以上的。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（1）项目新增机制砂产品品种；</w:t>
            </w:r>
            <w:r>
              <w:rPr>
                <w:rFonts w:hint="eastAsia" w:ascii="Times New Roman" w:hAnsi="Times New Roman" w:eastAsia="宋体" w:cs="Times New Roman"/>
                <w:i w:val="0"/>
                <w:color w:val="auto"/>
                <w:kern w:val="0"/>
                <w:sz w:val="21"/>
                <w:szCs w:val="21"/>
                <w:highlight w:val="none"/>
                <w:u w:val="none"/>
                <w:lang w:val="en-US" w:eastAsia="zh-CN" w:bidi="ar"/>
              </w:rPr>
              <w:t>因处理原料含水率的变化，</w:t>
            </w:r>
            <w:r>
              <w:rPr>
                <w:rFonts w:hint="default" w:ascii="Times New Roman" w:hAnsi="Times New Roman" w:eastAsia="宋体" w:cs="Times New Roman"/>
                <w:i w:val="0"/>
                <w:color w:val="auto"/>
                <w:kern w:val="0"/>
                <w:sz w:val="21"/>
                <w:szCs w:val="21"/>
                <w:highlight w:val="none"/>
                <w:u w:val="none"/>
                <w:lang w:val="en-US" w:eastAsia="zh-CN" w:bidi="ar"/>
              </w:rPr>
              <w:t>一次破碎和筛分</w:t>
            </w:r>
            <w:r>
              <w:rPr>
                <w:rFonts w:hint="eastAsia" w:ascii="Times New Roman" w:hAnsi="Times New Roman" w:eastAsia="宋体" w:cs="Times New Roman"/>
                <w:i w:val="0"/>
                <w:color w:val="auto"/>
                <w:kern w:val="0"/>
                <w:sz w:val="21"/>
                <w:szCs w:val="21"/>
                <w:highlight w:val="none"/>
                <w:u w:val="none"/>
                <w:lang w:val="en-US" w:eastAsia="zh-CN" w:bidi="ar"/>
              </w:rPr>
              <w:t>产生粉尘含水率较高，易粘结并堵塞布袋除尘器，故</w:t>
            </w:r>
            <w:r>
              <w:rPr>
                <w:rFonts w:hint="default" w:ascii="Times New Roman" w:hAnsi="Times New Roman" w:eastAsia="宋体" w:cs="Times New Roman"/>
                <w:i w:val="0"/>
                <w:color w:val="auto"/>
                <w:kern w:val="0"/>
                <w:sz w:val="21"/>
                <w:szCs w:val="21"/>
                <w:highlight w:val="none"/>
                <w:u w:val="none"/>
                <w:lang w:val="en-US" w:eastAsia="zh-CN" w:bidi="ar"/>
              </w:rPr>
              <w:t>一次破碎和筛分生产过程产生的废气由</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集气罩+布袋除尘+20m排气筒</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变为</w:t>
            </w:r>
            <w:r>
              <w:rPr>
                <w:rFonts w:hint="eastAsia" w:ascii="Times New Roman" w:hAnsi="Times New Roman" w:cs="Times New Roman"/>
                <w:i w:val="0"/>
                <w:color w:val="auto"/>
                <w:kern w:val="0"/>
                <w:sz w:val="21"/>
                <w:szCs w:val="21"/>
                <w:highlight w:val="none"/>
                <w:u w:val="none"/>
                <w:lang w:val="en-US" w:eastAsia="zh-CN" w:bidi="ar"/>
              </w:rPr>
              <w:t>“雾炮抑尘</w:t>
            </w:r>
            <w:r>
              <w:rPr>
                <w:rFonts w:hint="default" w:ascii="Times New Roman" w:hAnsi="Times New Roman" w:eastAsia="宋体" w:cs="Times New Roman"/>
                <w:i w:val="0"/>
                <w:color w:val="auto"/>
                <w:kern w:val="0"/>
                <w:sz w:val="21"/>
                <w:szCs w:val="21"/>
                <w:highlight w:val="none"/>
                <w:u w:val="none"/>
                <w:lang w:val="en-US" w:eastAsia="zh-CN" w:bidi="ar"/>
              </w:rPr>
              <w:t>设施</w:t>
            </w:r>
            <w:r>
              <w:rPr>
                <w:rFonts w:hint="eastAsia"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处理</w:t>
            </w:r>
            <w:r>
              <w:rPr>
                <w:rFonts w:hint="eastAsia" w:ascii="Times New Roman" w:hAnsi="Times New Roman" w:cs="Times New Roman"/>
                <w:i w:val="0"/>
                <w:color w:val="auto"/>
                <w:kern w:val="0"/>
                <w:sz w:val="21"/>
                <w:szCs w:val="21"/>
                <w:highlight w:val="none"/>
                <w:u w:val="none"/>
                <w:lang w:val="en-US" w:eastAsia="zh-CN" w:bidi="ar"/>
              </w:rPr>
              <w:t>（射程分别为60m和80m）</w:t>
            </w:r>
            <w:r>
              <w:rPr>
                <w:rFonts w:hint="eastAsia" w:cs="Times New Roman"/>
                <w:i w:val="0"/>
                <w:color w:val="auto"/>
                <w:kern w:val="0"/>
                <w:sz w:val="21"/>
                <w:szCs w:val="21"/>
                <w:highlight w:val="none"/>
                <w:u w:val="none"/>
                <w:lang w:val="en-US" w:eastAsia="zh-CN" w:bidi="ar"/>
              </w:rPr>
              <w:t>；</w:t>
            </w:r>
            <w:r>
              <w:rPr>
                <w:rFonts w:hint="eastAsia" w:cs="Times New Roman"/>
                <w:bCs/>
                <w:color w:val="auto"/>
                <w:kern w:val="2"/>
                <w:sz w:val="21"/>
                <w:szCs w:val="21"/>
                <w:vertAlign w:val="baseline"/>
                <w:lang w:val="en-US" w:eastAsia="zh-CN" w:bidi="ar-SA"/>
              </w:rPr>
              <w:t>生产工艺取消搅拌；处理钢渣种类由“精炼渣湿法球磨磁选出铁精矿后的钢渣”变动为“水淬精炼渣、水淬镍铁渣”。</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（2）上述变动未导致</w:t>
            </w:r>
            <w:r>
              <w:rPr>
                <w:rFonts w:hint="default" w:ascii="Times New Roman" w:hAnsi="Times New Roman" w:eastAsia="宋体" w:cs="Times New Roman"/>
                <w:bCs/>
                <w:color w:val="auto"/>
                <w:kern w:val="2"/>
                <w:sz w:val="21"/>
                <w:szCs w:val="21"/>
                <w:vertAlign w:val="baseline"/>
                <w:lang w:val="en-US" w:eastAsia="zh-CN" w:bidi="ar-SA"/>
              </w:rPr>
              <w:t>新增排放污染物种类</w:t>
            </w:r>
            <w:r>
              <w:rPr>
                <w:rFonts w:hint="eastAsia" w:ascii="Times New Roman" w:hAnsi="Times New Roman" w:eastAsia="宋体" w:cs="Times New Roman"/>
                <w:bCs/>
                <w:color w:val="auto"/>
                <w:kern w:val="2"/>
                <w:sz w:val="21"/>
                <w:szCs w:val="21"/>
                <w:vertAlign w:val="baseline"/>
                <w:lang w:val="en-US" w:eastAsia="zh-CN" w:bidi="ar-SA"/>
              </w:rPr>
              <w:t>。</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（3）项目位于达标区。</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（4）上述变动未导致</w:t>
            </w:r>
            <w:r>
              <w:rPr>
                <w:rFonts w:hint="default" w:ascii="Times New Roman" w:hAnsi="Times New Roman" w:eastAsia="宋体" w:cs="Times New Roman"/>
                <w:bCs/>
                <w:color w:val="auto"/>
                <w:kern w:val="2"/>
                <w:sz w:val="21"/>
                <w:szCs w:val="21"/>
                <w:vertAlign w:val="baseline"/>
                <w:lang w:val="en-US" w:eastAsia="zh-CN" w:bidi="ar-SA"/>
              </w:rPr>
              <w:t>废水第一类污染物排放量增加</w:t>
            </w:r>
            <w:r>
              <w:rPr>
                <w:rFonts w:hint="eastAsia" w:ascii="Times New Roman" w:hAnsi="Times New Roman" w:eastAsia="宋体" w:cs="Times New Roman"/>
                <w:bCs/>
                <w:color w:val="auto"/>
                <w:kern w:val="2"/>
                <w:sz w:val="21"/>
                <w:szCs w:val="21"/>
                <w:vertAlign w:val="baseline"/>
                <w:lang w:val="en-US" w:eastAsia="zh-CN" w:bidi="ar-SA"/>
              </w:rPr>
              <w:t>。</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（5）</w:t>
            </w:r>
            <w:r>
              <w:rPr>
                <w:rFonts w:hint="default" w:ascii="Times New Roman" w:hAnsi="Times New Roman" w:eastAsia="宋体" w:cs="Times New Roman"/>
                <w:i w:val="0"/>
                <w:color w:val="auto"/>
                <w:kern w:val="0"/>
                <w:sz w:val="21"/>
                <w:szCs w:val="21"/>
                <w:highlight w:val="none"/>
                <w:u w:val="none"/>
                <w:lang w:val="en-US" w:eastAsia="zh-CN" w:bidi="ar"/>
              </w:rPr>
              <w:t>一次破碎和筛分废气由有组织排放变为无组织排放</w:t>
            </w:r>
            <w:r>
              <w:rPr>
                <w:rFonts w:hint="eastAsia" w:ascii="Times New Roman" w:hAnsi="Times New Roman" w:cs="Times New Roman"/>
                <w:i w:val="0"/>
                <w:color w:val="auto"/>
                <w:kern w:val="0"/>
                <w:sz w:val="21"/>
                <w:szCs w:val="21"/>
                <w:highlight w:val="none"/>
                <w:u w:val="none"/>
                <w:lang w:val="en-US" w:eastAsia="zh-CN" w:bidi="ar"/>
              </w:rPr>
              <w:t>，经《项目变动环境影响补充说明》核算及专家评审，项目无组织粉尘排放量增加0.1t/a（环评时项目无组织粉尘排放量1.66t/a），变动导致项目无组织排放量增加6%，低于10%，不属于重大变动</w:t>
            </w:r>
            <w:r>
              <w:rPr>
                <w:rFonts w:hint="eastAsia" w:ascii="Times New Roman" w:hAnsi="Times New Roman" w:eastAsia="宋体" w:cs="Times New Roman"/>
                <w:i w:val="0"/>
                <w:color w:val="auto"/>
                <w:kern w:val="0"/>
                <w:sz w:val="21"/>
                <w:szCs w:val="21"/>
                <w:highlight w:val="none"/>
                <w:u w:val="none"/>
                <w:lang w:val="en-US" w:eastAsia="zh-CN" w:bidi="ar"/>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7.物料运输、装卸、贮存方式变化，导致大气污染物无组织排放量增加10%及以上的。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（1）项目二次破碎机由现有厂房内中部调整至现有厂房内西北侧，进二次破碎的物料由厂房内皮带输送改厂房内汽车运输。</w:t>
            </w:r>
          </w:p>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（2）</w:t>
            </w:r>
            <w:r>
              <w:rPr>
                <w:rFonts w:hint="eastAsia" w:ascii="Times New Roman" w:hAnsi="Times New Roman" w:cs="Times New Roman"/>
                <w:i w:val="0"/>
                <w:color w:val="auto"/>
                <w:kern w:val="0"/>
                <w:sz w:val="21"/>
                <w:szCs w:val="21"/>
                <w:highlight w:val="none"/>
                <w:u w:val="none"/>
                <w:lang w:val="en-US" w:eastAsia="zh-CN" w:bidi="ar"/>
              </w:rPr>
              <w:t>经《项目变动环境影响补充说明》核算及专家评审，项目无组织粉尘排放量增加0.1t/a（环评时项目无组织粉尘排放量1.66t/a），变动导致项目无组织排放量增加6%，低于10%，不属于重大变动</w:t>
            </w:r>
            <w:r>
              <w:rPr>
                <w:rFonts w:hint="eastAsia" w:ascii="Times New Roman" w:hAnsi="Times New Roman" w:eastAsia="宋体" w:cs="Times New Roman"/>
                <w:i w:val="0"/>
                <w:color w:val="auto"/>
                <w:kern w:val="0"/>
                <w:sz w:val="21"/>
                <w:szCs w:val="21"/>
                <w:highlight w:val="none"/>
                <w:u w:val="none"/>
                <w:lang w:val="en-US" w:eastAsia="zh-CN" w:bidi="ar"/>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8.废气、废水污染防治措施变化，导致第6条中所列情形之一（废气无组织排放改为有组织排放、污染防治措施强化或改进的除外）或大气污染物无组织排放量增加10%及以上的。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highlight w:val="yellow"/>
                <w:vertAlign w:val="baseli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一次破碎和筛分废气由有组织排放变为无组织排放</w:t>
            </w:r>
            <w:r>
              <w:rPr>
                <w:rFonts w:hint="eastAsia" w:ascii="Times New Roman" w:hAnsi="Times New Roman" w:cs="Times New Roman"/>
                <w:i w:val="0"/>
                <w:color w:val="auto"/>
                <w:kern w:val="0"/>
                <w:sz w:val="21"/>
                <w:szCs w:val="21"/>
                <w:highlight w:val="none"/>
                <w:u w:val="none"/>
                <w:lang w:val="en-US" w:eastAsia="zh-CN" w:bidi="ar"/>
              </w:rPr>
              <w:t>，经《项目变动环境影响补充说明》核算及专家评审，项目无组织粉尘排放量增加0.1t/a（环评时项目无组织粉尘排放量1.66t/a），变动导致项目无组织排放量增加6%，低于10%，不属于重大变动</w:t>
            </w:r>
            <w:r>
              <w:rPr>
                <w:rFonts w:hint="eastAsia" w:ascii="Times New Roman" w:hAnsi="Times New Roman" w:eastAsia="宋体" w:cs="Times New Roman"/>
                <w:i w:val="0"/>
                <w:color w:val="auto"/>
                <w:kern w:val="0"/>
                <w:sz w:val="21"/>
                <w:szCs w:val="21"/>
                <w:highlight w:val="none"/>
                <w:u w:val="none"/>
                <w:lang w:val="en-US" w:eastAsia="zh-CN" w:bidi="ar"/>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9.新增废水直接排放口；废水由间接排放改为直接排放；废水直接排放口位置变化，导致不利环境影响加重的。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项目不存在左表所列情形。</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10.新增废气主要排放口（废气无组织排放改为有组织排放的除外）；主要排放口排气筒高度降低10%及以上的。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项目废气排放口为一般排放口，排气筒高度不变。</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11.噪声、土壤或地下水污染防治措施变化，导致不利环境影响加重的。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项目</w:t>
            </w:r>
            <w:r>
              <w:rPr>
                <w:rFonts w:hint="default" w:ascii="Times New Roman" w:hAnsi="Times New Roman" w:eastAsia="宋体" w:cs="Times New Roman"/>
                <w:bCs/>
                <w:color w:val="auto"/>
                <w:kern w:val="2"/>
                <w:sz w:val="21"/>
                <w:szCs w:val="21"/>
                <w:vertAlign w:val="baseline"/>
                <w:lang w:val="en-US" w:eastAsia="zh-CN" w:bidi="ar-SA"/>
              </w:rPr>
              <w:t>噪声、土壤或地下水污染防治措施</w:t>
            </w:r>
            <w:r>
              <w:rPr>
                <w:rFonts w:hint="eastAsia" w:ascii="Times New Roman" w:hAnsi="Times New Roman" w:eastAsia="宋体" w:cs="Times New Roman"/>
                <w:bCs/>
                <w:color w:val="auto"/>
                <w:kern w:val="2"/>
                <w:sz w:val="21"/>
                <w:szCs w:val="21"/>
                <w:vertAlign w:val="baseline"/>
                <w:lang w:val="en-US" w:eastAsia="zh-CN" w:bidi="ar-SA"/>
              </w:rPr>
              <w:t>不变</w:t>
            </w:r>
            <w:r>
              <w:rPr>
                <w:rFonts w:hint="eastAsia" w:cs="Times New Roman"/>
                <w:bCs/>
                <w:color w:val="auto"/>
                <w:kern w:val="2"/>
                <w:sz w:val="21"/>
                <w:szCs w:val="21"/>
                <w:vertAlign w:val="baseline"/>
                <w:lang w:val="en-US" w:eastAsia="zh-CN" w:bidi="ar-SA"/>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12.固体废物利用处置方式由委托外单位利用处置改为自行利用处置的（自行利用处置设施单独开展环境影响评价的除外）；固体废物自行处置方式变化，导致不利环境影响加重的。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项目</w:t>
            </w:r>
            <w:r>
              <w:rPr>
                <w:rFonts w:hint="default" w:ascii="Times New Roman" w:hAnsi="Times New Roman" w:eastAsia="宋体" w:cs="Times New Roman"/>
                <w:bCs/>
                <w:color w:val="auto"/>
                <w:kern w:val="2"/>
                <w:sz w:val="21"/>
                <w:szCs w:val="21"/>
                <w:vertAlign w:val="baseline"/>
                <w:lang w:val="en-US" w:eastAsia="zh-CN" w:bidi="ar-SA"/>
              </w:rPr>
              <w:t>固体废物利用处置方式</w:t>
            </w:r>
            <w:r>
              <w:rPr>
                <w:rFonts w:hint="eastAsia" w:ascii="Times New Roman" w:hAnsi="Times New Roman" w:eastAsia="宋体" w:cs="Times New Roman"/>
                <w:bCs/>
                <w:color w:val="auto"/>
                <w:kern w:val="2"/>
                <w:sz w:val="21"/>
                <w:szCs w:val="21"/>
                <w:vertAlign w:val="baseline"/>
                <w:lang w:val="en-US" w:eastAsia="zh-CN" w:bidi="ar-SA"/>
              </w:rPr>
              <w:t>与环评时一致。</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6"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13.事故废水暂存能力或拦截设施变化，导致环境风险防范能力弱化或降低的。</w:t>
            </w:r>
          </w:p>
        </w:tc>
        <w:tc>
          <w:tcPr>
            <w:tcW w:w="2557"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事故废水暂存能力</w:t>
            </w:r>
            <w:r>
              <w:rPr>
                <w:rFonts w:hint="eastAsia" w:ascii="Times New Roman" w:hAnsi="Times New Roman" w:eastAsia="宋体" w:cs="Times New Roman"/>
                <w:bCs/>
                <w:color w:val="auto"/>
                <w:kern w:val="2"/>
                <w:sz w:val="21"/>
                <w:szCs w:val="21"/>
                <w:vertAlign w:val="baseline"/>
                <w:lang w:val="en-US" w:eastAsia="zh-CN" w:bidi="ar-SA"/>
              </w:rPr>
              <w:t>、</w:t>
            </w:r>
            <w:r>
              <w:rPr>
                <w:rFonts w:hint="default" w:ascii="Times New Roman" w:hAnsi="Times New Roman" w:eastAsia="宋体" w:cs="Times New Roman"/>
                <w:bCs/>
                <w:color w:val="auto"/>
                <w:kern w:val="2"/>
                <w:sz w:val="21"/>
                <w:szCs w:val="21"/>
                <w:vertAlign w:val="baseline"/>
                <w:lang w:val="en-US" w:eastAsia="zh-CN" w:bidi="ar-SA"/>
              </w:rPr>
              <w:t>拦截设施</w:t>
            </w:r>
            <w:r>
              <w:rPr>
                <w:rFonts w:hint="eastAsia" w:ascii="Times New Roman" w:hAnsi="Times New Roman" w:eastAsia="宋体" w:cs="Times New Roman"/>
                <w:bCs/>
                <w:color w:val="auto"/>
                <w:kern w:val="2"/>
                <w:sz w:val="21"/>
                <w:szCs w:val="21"/>
                <w:vertAlign w:val="baseline"/>
                <w:lang w:val="en-US" w:eastAsia="zh-CN" w:bidi="ar-SA"/>
              </w:rPr>
              <w:t>与环评一致</w:t>
            </w:r>
            <w:r>
              <w:rPr>
                <w:rFonts w:hint="eastAsia" w:cs="Times New Roman"/>
                <w:bCs/>
                <w:color w:val="auto"/>
                <w:kern w:val="2"/>
                <w:sz w:val="21"/>
                <w:szCs w:val="21"/>
                <w:vertAlign w:val="baseline"/>
                <w:lang w:val="en-US" w:eastAsia="zh-CN" w:bidi="ar-SA"/>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vertAlign w:val="baseline"/>
                <w:lang w:val="en-US" w:eastAsia="zh-CN" w:bidi="ar-SA"/>
              </w:rPr>
            </w:pPr>
            <w:r>
              <w:rPr>
                <w:rFonts w:hint="eastAsia" w:cs="Times New Roman"/>
                <w:bCs/>
                <w:color w:val="auto"/>
                <w:kern w:val="2"/>
                <w:sz w:val="21"/>
                <w:szCs w:val="21"/>
                <w:vertAlign w:val="baseline"/>
                <w:lang w:val="en-US" w:eastAsia="zh-CN" w:bidi="ar-SA"/>
              </w:rPr>
              <w:t>否</w:t>
            </w:r>
          </w:p>
        </w:tc>
      </w:tr>
    </w:tbl>
    <w:p>
      <w:pPr>
        <w:bidi w:val="0"/>
        <w:rPr>
          <w:rFonts w:hint="default"/>
          <w:highlight w:val="none"/>
          <w:lang w:eastAsia="zh-CN"/>
        </w:rPr>
      </w:pPr>
    </w:p>
    <w:p>
      <w:pPr>
        <w:pStyle w:val="38"/>
        <w:rPr>
          <w:rFonts w:hint="default" w:ascii="Times New Roman" w:hAnsi="Times New Roman" w:cs="Times New Roman"/>
          <w:highlight w:val="none"/>
          <w:lang w:eastAsia="zh-CN"/>
        </w:rPr>
        <w:sectPr>
          <w:pgSz w:w="16838" w:h="11906" w:orient="landscape"/>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224" w:beforeLines="70" w:after="224" w:afterLines="70"/>
        <w:textAlignment w:val="auto"/>
        <w:rPr>
          <w:rFonts w:hint="default" w:ascii="Times New Roman" w:hAnsi="Times New Roman" w:cs="Times New Roman"/>
          <w:highlight w:val="none"/>
          <w:lang w:val="en-US" w:eastAsia="zh-CN"/>
        </w:rPr>
      </w:pPr>
      <w:bookmarkStart w:id="19" w:name="_Toc31432"/>
      <w:bookmarkStart w:id="20" w:name="_Toc29560"/>
      <w:r>
        <w:rPr>
          <w:rFonts w:hint="default" w:ascii="Times New Roman" w:hAnsi="Times New Roman" w:cs="Times New Roman"/>
          <w:highlight w:val="none"/>
          <w:lang w:eastAsia="zh-CN"/>
        </w:rPr>
        <w:t>表三</w:t>
      </w:r>
      <w:r>
        <w:rPr>
          <w:rFonts w:hint="default" w:ascii="Times New Roman" w:hAnsi="Times New Roman" w:cs="Times New Roman"/>
          <w:highlight w:val="none"/>
          <w:lang w:val="en-US" w:eastAsia="zh-CN"/>
        </w:rPr>
        <w:t xml:space="preserve">  主要污染源、污染物处理和排放</w:t>
      </w:r>
      <w:bookmarkEnd w:id="19"/>
      <w:bookmarkEnd w:id="20"/>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8" w:type="dxa"/>
            <w:noWrap w:val="0"/>
            <w:vAlign w:val="center"/>
          </w:tcPr>
          <w:p>
            <w:pPr>
              <w:pStyle w:val="6"/>
              <w:rPr>
                <w:rFonts w:hint="default" w:ascii="Times New Roman" w:hAnsi="Times New Roman" w:cs="Times New Roman"/>
                <w:highlight w:val="none"/>
                <w:lang w:val="en-US" w:eastAsia="zh-CN"/>
              </w:rPr>
            </w:pPr>
            <w:bookmarkStart w:id="21" w:name="_Toc1733"/>
            <w:bookmarkStart w:id="22" w:name="_Toc23667"/>
            <w:r>
              <w:rPr>
                <w:rFonts w:hint="default" w:ascii="Times New Roman" w:hAnsi="Times New Roman" w:cs="Times New Roman"/>
                <w:highlight w:val="none"/>
                <w:lang w:val="en-US" w:eastAsia="zh-CN"/>
              </w:rPr>
              <w:t>3.1废水</w:t>
            </w:r>
            <w:bookmarkEnd w:id="21"/>
            <w:bookmarkEnd w:id="22"/>
          </w:p>
          <w:p>
            <w:pPr>
              <w:pStyle w:val="7"/>
              <w:bidi w:val="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3.1.1</w:t>
            </w:r>
            <w:r>
              <w:rPr>
                <w:rFonts w:hint="default" w:ascii="Times New Roman" w:hAnsi="Times New Roman" w:cs="Times New Roman"/>
                <w:highlight w:val="none"/>
                <w:lang w:eastAsia="zh-CN"/>
              </w:rPr>
              <w:t>生产废水</w:t>
            </w:r>
          </w:p>
          <w:p>
            <w:pPr>
              <w:pStyle w:val="27"/>
              <w:keepNext w:val="0"/>
              <w:keepLines w:val="0"/>
              <w:pageBreakBefore w:val="0"/>
              <w:widowControl w:val="0"/>
              <w:kinsoku/>
              <w:wordWrap/>
              <w:overflowPunct/>
              <w:topLinePunct w:val="0"/>
              <w:autoSpaceDE/>
              <w:autoSpaceDN/>
              <w:bidi w:val="0"/>
              <w:adjustRightInd w:val="0"/>
              <w:snapToGrid w:val="0"/>
              <w:spacing w:before="0" w:after="0" w:afterLines="0" w:line="360" w:lineRule="auto"/>
              <w:ind w:right="0" w:firstLine="48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项目降尘废水全部蒸发或随物料带走，没有生产废水。</w:t>
            </w:r>
          </w:p>
          <w:p>
            <w:pPr>
              <w:pStyle w:val="7"/>
              <w:bidi w:val="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3.1.</w:t>
            </w:r>
            <w:r>
              <w:rPr>
                <w:rFonts w:hint="eastAsia" w:ascii="Times New Roman" w:hAnsi="Times New Roman" w:cs="Times New Roman"/>
                <w:highlight w:val="none"/>
                <w:lang w:val="en-US" w:eastAsia="zh-CN"/>
              </w:rPr>
              <w:t>2初期雨水</w:t>
            </w:r>
          </w:p>
          <w:p>
            <w:pPr>
              <w:pStyle w:val="27"/>
              <w:keepNext w:val="0"/>
              <w:keepLines w:val="0"/>
              <w:pageBreakBefore w:val="0"/>
              <w:widowControl w:val="0"/>
              <w:kinsoku/>
              <w:wordWrap/>
              <w:overflowPunct/>
              <w:topLinePunct w:val="0"/>
              <w:autoSpaceDE/>
              <w:autoSpaceDN/>
              <w:bidi w:val="0"/>
              <w:adjustRightInd w:val="0"/>
              <w:snapToGrid w:val="0"/>
              <w:spacing w:before="0" w:after="0" w:afterLines="0" w:line="360" w:lineRule="auto"/>
              <w:ind w:right="0" w:firstLine="48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场地初期雨水依托现有截排水沟收集，进现有1座480m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初期雨水池，采用“沉淀+过滤”处理后排入湾坞西污水处理厂统一处理。</w:t>
            </w:r>
          </w:p>
          <w:p>
            <w:pPr>
              <w:pStyle w:val="7"/>
              <w:bidi w:val="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3.1.</w:t>
            </w:r>
            <w:r>
              <w:rPr>
                <w:rFonts w:hint="eastAsia" w:cs="Times New Roman"/>
                <w:highlight w:val="none"/>
                <w:lang w:val="en-US" w:eastAsia="zh-CN"/>
              </w:rPr>
              <w:t>3</w:t>
            </w:r>
            <w:r>
              <w:rPr>
                <w:rFonts w:hint="default" w:ascii="Times New Roman" w:hAnsi="Times New Roman" w:cs="Times New Roman"/>
                <w:highlight w:val="none"/>
                <w:lang w:eastAsia="zh-CN"/>
              </w:rPr>
              <w:t>生活污水</w:t>
            </w:r>
          </w:p>
          <w:p>
            <w:pPr>
              <w:pStyle w:val="27"/>
              <w:keepNext w:val="0"/>
              <w:keepLines w:val="0"/>
              <w:pageBreakBefore w:val="0"/>
              <w:widowControl w:val="0"/>
              <w:kinsoku/>
              <w:wordWrap/>
              <w:overflowPunct/>
              <w:topLinePunct w:val="0"/>
              <w:autoSpaceDE/>
              <w:autoSpaceDN/>
              <w:bidi w:val="0"/>
              <w:adjustRightInd w:val="0"/>
              <w:snapToGrid w:val="0"/>
              <w:spacing w:before="0" w:after="0" w:afterLines="0" w:line="360" w:lineRule="auto"/>
              <w:ind w:right="0" w:firstLine="48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项目员工在厂区内部调剂，未新增劳动定员，不新增生活用水量。生活污水产排情况保持现状，经化粪池预处理后排入湾坞西污水处理厂统一处理。</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76"/>
              <w:gridCol w:w="4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7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p>
              </w:tc>
              <w:tc>
                <w:tcPr>
                  <w:tcW w:w="4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初期雨水收集池</w:t>
                  </w:r>
                </w:p>
              </w:tc>
              <w:tc>
                <w:tcPr>
                  <w:tcW w:w="4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废水</w:t>
                  </w:r>
                  <w:r>
                    <w:rPr>
                      <w:rFonts w:hint="eastAsia" w:cs="Times New Roman"/>
                      <w:color w:val="auto"/>
                      <w:highlight w:val="none"/>
                      <w:vertAlign w:val="baseline"/>
                      <w:lang w:val="en-US" w:eastAsia="zh-CN"/>
                    </w:rPr>
                    <w:t>排放口</w:t>
                  </w:r>
                  <w:r>
                    <w:rPr>
                      <w:rFonts w:hint="eastAsia" w:ascii="Times New Roman" w:hAnsi="Times New Roman" w:cs="Times New Roman"/>
                      <w:color w:val="auto"/>
                      <w:highlight w:val="none"/>
                      <w:vertAlign w:val="baseline"/>
                      <w:lang w:val="en-US" w:eastAsia="zh-CN"/>
                    </w:rPr>
                    <w:t>（DW001）</w:t>
                  </w:r>
                </w:p>
              </w:tc>
            </w:tr>
          </w:tbl>
          <w:p>
            <w:pPr>
              <w:pStyle w:val="9"/>
              <w:keepNext/>
              <w:keepLines/>
              <w:pageBreakBefore w:val="0"/>
              <w:widowControl w:val="0"/>
              <w:kinsoku/>
              <w:wordWrap/>
              <w:overflowPunct/>
              <w:topLinePunct w:val="0"/>
              <w:autoSpaceDE/>
              <w:autoSpaceDN/>
              <w:bidi w:val="0"/>
              <w:adjustRightInd w:val="0"/>
              <w:snapToGrid/>
              <w:spacing w:before="65" w:beforeLines="2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图</w:t>
            </w:r>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废</w:t>
            </w:r>
            <w:r>
              <w:rPr>
                <w:rFonts w:hint="eastAsia" w:ascii="Times New Roman" w:hAnsi="Times New Roman" w:cs="Times New Roman"/>
                <w:color w:val="auto"/>
                <w:highlight w:val="none"/>
                <w:lang w:val="en-US" w:eastAsia="zh-CN"/>
              </w:rPr>
              <w:t>水</w:t>
            </w:r>
            <w:r>
              <w:rPr>
                <w:rFonts w:hint="default" w:ascii="Times New Roman" w:hAnsi="Times New Roman" w:cs="Times New Roman"/>
                <w:color w:val="auto"/>
                <w:highlight w:val="none"/>
                <w:lang w:val="en-US" w:eastAsia="zh-CN"/>
              </w:rPr>
              <w:t>处理设施照片</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6"/>
              <w:keepNext/>
              <w:keepLines w:val="0"/>
              <w:pageBreakBefore w:val="0"/>
              <w:widowControl w:val="0"/>
              <w:kinsoku/>
              <w:wordWrap/>
              <w:overflowPunct/>
              <w:topLinePunct w:val="0"/>
              <w:autoSpaceDE/>
              <w:autoSpaceDN/>
              <w:bidi w:val="0"/>
              <w:adjustRightInd/>
              <w:snapToGrid/>
              <w:spacing w:line="240" w:lineRule="auto"/>
              <w:textAlignment w:val="auto"/>
              <w:outlineLvl w:val="1"/>
              <w:rPr>
                <w:rFonts w:hint="default" w:ascii="Times New Roman" w:hAnsi="Times New Roman" w:cs="Times New Roman"/>
                <w:highlight w:val="none"/>
                <w:lang w:val="en-US" w:eastAsia="zh-CN"/>
              </w:rPr>
            </w:pPr>
            <w:bookmarkStart w:id="23" w:name="_Toc13268"/>
            <w:bookmarkStart w:id="24" w:name="_Toc10301"/>
            <w:r>
              <w:rPr>
                <w:rFonts w:hint="default" w:ascii="Times New Roman" w:hAnsi="Times New Roman" w:cs="Times New Roman"/>
                <w:highlight w:val="none"/>
                <w:lang w:val="en-US" w:eastAsia="zh-CN"/>
              </w:rPr>
              <w:t>3.2废气</w:t>
            </w:r>
            <w:bookmarkEnd w:id="23"/>
            <w:bookmarkEnd w:id="24"/>
          </w:p>
          <w:p>
            <w:pPr>
              <w:pStyle w:val="7"/>
              <w:bidi w:val="0"/>
              <w:rPr>
                <w:rFonts w:hint="default"/>
                <w:lang w:val="en-US" w:eastAsia="zh-CN"/>
              </w:rPr>
            </w:pPr>
            <w:r>
              <w:rPr>
                <w:rFonts w:hint="eastAsia"/>
                <w:lang w:val="en-US" w:eastAsia="zh-CN"/>
              </w:rPr>
              <w:t>3.2.1有组织废气</w:t>
            </w:r>
          </w:p>
          <w:p>
            <w:pPr>
              <w:pStyle w:val="11"/>
              <w:snapToGri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项目有组织废气主要为二次破碎废气（DA003），二次破碎机负压密闭运行，破碎产生的细颗粒物跟随负压气流进入重力分离设施中，较重的颗粒物落入重力分离器下方，经密闭提升机提升至密闭料仓，较轻的细颗粒物进布袋除尘器处理，除尘灰进密闭料仓，除尘后的废气经1根20m高排气筒排放。</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7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二次破碎废气处理设施及排气筒</w:t>
                  </w:r>
                </w:p>
              </w:tc>
            </w:tr>
          </w:tbl>
          <w:p>
            <w:pPr>
              <w:pStyle w:val="9"/>
              <w:keepNext/>
              <w:keepLines/>
              <w:pageBreakBefore w:val="0"/>
              <w:widowControl w:val="0"/>
              <w:kinsoku/>
              <w:wordWrap/>
              <w:overflowPunct/>
              <w:topLinePunct w:val="0"/>
              <w:autoSpaceDE/>
              <w:autoSpaceDN/>
              <w:bidi w:val="0"/>
              <w:adjustRightInd w:val="0"/>
              <w:snapToGrid w:val="0"/>
              <w:spacing w:before="65" w:beforeLines="20"/>
              <w:textAlignment w:val="auto"/>
              <w:rPr>
                <w:rFonts w:hint="default" w:ascii="Times New Roman" w:hAnsi="Times New Roman" w:cs="Times New Roman"/>
                <w:color w:val="2929FF"/>
                <w:highlight w:val="none"/>
                <w:lang w:val="en-US" w:eastAsia="zh-CN"/>
              </w:rPr>
            </w:pPr>
            <w:r>
              <w:rPr>
                <w:rFonts w:hint="default" w:ascii="Times New Roman" w:hAnsi="Times New Roman" w:cs="Times New Roman"/>
                <w:color w:val="auto"/>
                <w:highlight w:val="none"/>
                <w:lang w:eastAsia="zh-CN"/>
              </w:rPr>
              <w:t>图</w:t>
            </w:r>
            <w:r>
              <w:rPr>
                <w:rFonts w:hint="default" w:ascii="Times New Roman" w:hAnsi="Times New Roman" w:cs="Times New Roman"/>
                <w:color w:val="auto"/>
                <w:highlight w:val="none"/>
                <w:lang w:val="en-US" w:eastAsia="zh-CN"/>
              </w:rPr>
              <w:t>3.2-</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有组织</w:t>
            </w:r>
            <w:r>
              <w:rPr>
                <w:rFonts w:hint="default" w:ascii="Times New Roman" w:hAnsi="Times New Roman" w:cs="Times New Roman"/>
                <w:color w:val="auto"/>
                <w:highlight w:val="none"/>
                <w:lang w:val="en-US" w:eastAsia="zh-CN"/>
              </w:rPr>
              <w:t>废气处理设施照片</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7"/>
              <w:bidi w:val="0"/>
              <w:rPr>
                <w:rFonts w:hint="default"/>
                <w:lang w:val="en-US" w:eastAsia="zh-CN"/>
              </w:rPr>
            </w:pPr>
            <w:r>
              <w:rPr>
                <w:rFonts w:hint="eastAsia"/>
                <w:lang w:val="en-US" w:eastAsia="zh-CN"/>
              </w:rPr>
              <w:t>3.2.2无组织废气</w:t>
            </w:r>
          </w:p>
          <w:p>
            <w:pPr>
              <w:pStyle w:val="11"/>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采用密闭皮带输送机输送方式，皮带输送过程采用喷雾抑尘</w:t>
            </w:r>
            <w:r>
              <w:rPr>
                <w:rFonts w:hint="eastAsia" w:cs="Times New Roman"/>
                <w:color w:val="auto"/>
                <w:sz w:val="24"/>
                <w:highlight w:val="none"/>
                <w:lang w:eastAsia="zh-CN"/>
              </w:rPr>
              <w:t>。</w:t>
            </w:r>
          </w:p>
          <w:p>
            <w:pPr>
              <w:pStyle w:val="11"/>
              <w:snapToGrid w:val="0"/>
              <w:spacing w:line="360" w:lineRule="auto"/>
              <w:ind w:firstLine="480" w:firstLineChars="200"/>
              <w:rPr>
                <w:rFonts w:hint="default" w:ascii="Times New Roman" w:hAnsi="Times New Roman"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）在装卸车过程采用喷雾抑尘，运输过程使用车载篷布遮盖。</w:t>
            </w:r>
          </w:p>
          <w:p>
            <w:pPr>
              <w:pStyle w:val="11"/>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w:t>
            </w:r>
            <w:r>
              <w:rPr>
                <w:rFonts w:hint="eastAsia" w:cs="Times New Roman"/>
                <w:color w:val="auto"/>
                <w:sz w:val="24"/>
                <w:highlight w:val="none"/>
                <w:lang w:val="en-US" w:eastAsia="zh-CN"/>
              </w:rPr>
              <w:t>生产车间封闭，车间内采用雾炮喷雾降尘。</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生产车间封闭</w:t>
                  </w: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输送带密闭通廊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降尘用雾炮</w:t>
                  </w: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运输车货斗</w:t>
                  </w:r>
                  <w:r>
                    <w:rPr>
                      <w:rFonts w:hint="default" w:ascii="Times New Roman" w:hAnsi="Times New Roman" w:cs="Times New Roman"/>
                      <w:color w:val="auto"/>
                      <w:highlight w:val="none"/>
                      <w:vertAlign w:val="baseline"/>
                      <w:lang w:val="en-US" w:eastAsia="zh-CN"/>
                    </w:rPr>
                    <w:t>篷布遮盖</w:t>
                  </w:r>
                </w:p>
              </w:tc>
            </w:tr>
          </w:tbl>
          <w:p>
            <w:pPr>
              <w:pStyle w:val="9"/>
              <w:keepNext/>
              <w:keepLines/>
              <w:pageBreakBefore w:val="0"/>
              <w:widowControl w:val="0"/>
              <w:kinsoku/>
              <w:wordWrap/>
              <w:overflowPunct/>
              <w:topLinePunct w:val="0"/>
              <w:autoSpaceDE/>
              <w:autoSpaceDN/>
              <w:bidi w:val="0"/>
              <w:adjustRightInd w:val="0"/>
              <w:snapToGrid w:val="0"/>
              <w:spacing w:before="65" w:beforeLines="20"/>
              <w:textAlignment w:val="auto"/>
              <w:rPr>
                <w:rFonts w:hint="default" w:ascii="Times New Roman" w:hAnsi="Times New Roman" w:cs="Times New Roman"/>
                <w:color w:val="2929FF"/>
                <w:highlight w:val="none"/>
                <w:lang w:val="en-US" w:eastAsia="zh-CN"/>
              </w:rPr>
            </w:pPr>
            <w:r>
              <w:rPr>
                <w:rFonts w:hint="default" w:ascii="Times New Roman" w:hAnsi="Times New Roman" w:cs="Times New Roman"/>
                <w:color w:val="auto"/>
                <w:highlight w:val="none"/>
                <w:lang w:eastAsia="zh-CN"/>
              </w:rPr>
              <w:t>图</w:t>
            </w:r>
            <w:r>
              <w:rPr>
                <w:rFonts w:hint="default" w:ascii="Times New Roman" w:hAnsi="Times New Roman" w:cs="Times New Roman"/>
                <w:color w:val="auto"/>
                <w:highlight w:val="none"/>
                <w:lang w:val="en-US" w:eastAsia="zh-CN"/>
              </w:rPr>
              <w:t>3.2-</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无组织</w:t>
            </w:r>
            <w:r>
              <w:rPr>
                <w:rFonts w:hint="default" w:ascii="Times New Roman" w:hAnsi="Times New Roman" w:cs="Times New Roman"/>
                <w:color w:val="auto"/>
                <w:highlight w:val="none"/>
                <w:lang w:val="en-US" w:eastAsia="zh-CN"/>
              </w:rPr>
              <w:t>废气处理设施照片</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6"/>
              <w:rPr>
                <w:rFonts w:hint="default" w:ascii="Times New Roman" w:hAnsi="Times New Roman" w:cs="Times New Roman"/>
                <w:highlight w:val="none"/>
                <w:lang w:val="en-US" w:eastAsia="zh-CN"/>
              </w:rPr>
            </w:pPr>
            <w:bookmarkStart w:id="25" w:name="_Toc900"/>
            <w:bookmarkStart w:id="26" w:name="_Toc3676"/>
            <w:r>
              <w:rPr>
                <w:rFonts w:hint="default" w:ascii="Times New Roman" w:hAnsi="Times New Roman" w:cs="Times New Roman"/>
                <w:highlight w:val="none"/>
                <w:lang w:val="en-US" w:eastAsia="zh-CN"/>
              </w:rPr>
              <w:t>3.3噪声</w:t>
            </w:r>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项目噪声源主要为设备噪声，</w:t>
            </w:r>
            <w:r>
              <w:rPr>
                <w:rFonts w:hint="eastAsia" w:cs="Times New Roman"/>
                <w:sz w:val="24"/>
                <w:szCs w:val="24"/>
                <w:highlight w:val="none"/>
                <w:lang w:val="en-US" w:eastAsia="zh-CN"/>
              </w:rPr>
              <w:t>采用厂房</w:t>
            </w:r>
            <w:r>
              <w:rPr>
                <w:rFonts w:hint="default" w:ascii="Times New Roman" w:hAnsi="Times New Roman" w:cs="Times New Roman"/>
                <w:sz w:val="24"/>
                <w:szCs w:val="24"/>
                <w:highlight w:val="none"/>
              </w:rPr>
              <w:t>隔声</w:t>
            </w:r>
            <w:r>
              <w:rPr>
                <w:rFonts w:hint="eastAsia" w:ascii="Times New Roman" w:hAnsi="Times New Roman" w:cs="Times New Roman"/>
                <w:color w:val="auto"/>
                <w:sz w:val="24"/>
                <w:highlight w:val="none"/>
                <w:lang w:val="en-US" w:eastAsia="zh-CN"/>
              </w:rPr>
              <w:t>措施</w:t>
            </w:r>
            <w:r>
              <w:rPr>
                <w:rFonts w:hint="default" w:ascii="Times New Roman" w:hAnsi="Times New Roman" w:cs="Times New Roman"/>
                <w:color w:val="auto"/>
                <w:sz w:val="24"/>
                <w:highlight w:val="none"/>
                <w:lang w:eastAsia="zh-CN"/>
              </w:rPr>
              <w:t>降噪</w:t>
            </w:r>
            <w:r>
              <w:rPr>
                <w:rFonts w:hint="eastAsia" w:cs="Times New Roman"/>
                <w:color w:val="auto"/>
                <w:sz w:val="24"/>
                <w:highlight w:val="none"/>
                <w:lang w:eastAsia="zh-CN"/>
              </w:rPr>
              <w:t>，</w:t>
            </w:r>
            <w:r>
              <w:rPr>
                <w:rFonts w:hint="eastAsia" w:cs="Times New Roman"/>
                <w:sz w:val="24"/>
                <w:szCs w:val="24"/>
                <w:highlight w:val="none"/>
                <w:lang w:val="en-US" w:eastAsia="zh-CN"/>
              </w:rPr>
              <w:t>周边200m范围内没有声环境敏感目标</w:t>
            </w:r>
            <w:r>
              <w:rPr>
                <w:rFonts w:hint="default" w:ascii="Times New Roman" w:hAnsi="Times New Roman" w:cs="Times New Roman"/>
                <w:sz w:val="24"/>
                <w:szCs w:val="24"/>
                <w:highlight w:val="none"/>
              </w:rPr>
              <w:t>。</w:t>
            </w:r>
          </w:p>
          <w:p>
            <w:pPr>
              <w:pStyle w:val="6"/>
              <w:rPr>
                <w:rFonts w:hint="default" w:ascii="Times New Roman" w:hAnsi="Times New Roman" w:cs="Times New Roman"/>
                <w:highlight w:val="none"/>
                <w:lang w:val="en-US" w:eastAsia="zh-CN"/>
              </w:rPr>
            </w:pPr>
            <w:bookmarkStart w:id="27" w:name="_Toc5434"/>
            <w:bookmarkStart w:id="28" w:name="_Toc9847"/>
            <w:r>
              <w:rPr>
                <w:rFonts w:hint="default" w:ascii="Times New Roman" w:hAnsi="Times New Roman" w:cs="Times New Roman"/>
                <w:highlight w:val="none"/>
                <w:lang w:val="en-US" w:eastAsia="zh-CN"/>
              </w:rPr>
              <w:t>3.4固体废物</w:t>
            </w:r>
            <w:bookmarkEnd w:id="27"/>
            <w:bookmarkEnd w:id="28"/>
          </w:p>
          <w:p>
            <w:pPr>
              <w:pStyle w:val="7"/>
              <w:bidi w:val="0"/>
              <w:rPr>
                <w:rFonts w:hint="default"/>
                <w:highlight w:val="none"/>
                <w:lang w:val="en-US" w:eastAsia="zh-CN"/>
              </w:rPr>
            </w:pPr>
            <w:r>
              <w:rPr>
                <w:rFonts w:hint="eastAsia"/>
                <w:highlight w:val="none"/>
                <w:lang w:val="en-US" w:eastAsia="zh-CN"/>
              </w:rPr>
              <w:t>3.4.1一般工业固废</w:t>
            </w:r>
          </w:p>
          <w:p>
            <w:pPr>
              <w:pStyle w:val="11"/>
              <w:adjustRightInd w:val="0"/>
              <w:snapToGrid w:val="0"/>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项目一般工业固废为除尘灰（900-099-S59），暂存于钢制密闭除尘灰仓，回用于公司现有矿渣微粉生产线。</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3" w:hRule="atLeast"/>
              </w:trPr>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4"/>
                      <w:highlight w:val="none"/>
                      <w:vertAlign w:val="baseline"/>
                      <w:lang w:val="en-US" w:eastAsia="zh-CN" w:bidi="ar-SA"/>
                    </w:rPr>
                  </w:pP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4"/>
                      <w:highlight w:val="none"/>
                      <w:vertAlign w:val="baseline"/>
                      <w:lang w:val="en-US" w:eastAsia="zh-CN" w:bidi="ar-SA"/>
                    </w:rPr>
                  </w:pPr>
                  <w:r>
                    <w:rPr>
                      <w:rFonts w:hint="eastAsia" w:cs="Times New Roman"/>
                      <w:color w:val="auto"/>
                      <w:highlight w:val="none"/>
                      <w:vertAlign w:val="baseline"/>
                      <w:lang w:val="en-US" w:eastAsia="zh-CN"/>
                    </w:rPr>
                    <w:t>除尘灰仓</w:t>
                  </w: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除尘灰及矿渣微粉密闭输送设施</w:t>
                  </w:r>
                </w:p>
              </w:tc>
            </w:tr>
          </w:tbl>
          <w:p>
            <w:pPr>
              <w:pStyle w:val="9"/>
              <w:bidi w:val="0"/>
              <w:rPr>
                <w:rFonts w:hint="default" w:ascii="Times New Roman" w:hAnsi="Times New Roman" w:cs="Times New Roman"/>
                <w:color w:val="2929FF"/>
                <w:highlight w:val="none"/>
                <w:lang w:val="en-US" w:eastAsia="zh-CN"/>
              </w:rPr>
            </w:pPr>
            <w:r>
              <w:rPr>
                <w:rFonts w:hint="default" w:ascii="Times New Roman" w:hAnsi="Times New Roman" w:cs="Times New Roman"/>
                <w:color w:val="auto"/>
                <w:highlight w:val="none"/>
                <w:lang w:eastAsia="zh-CN"/>
              </w:rPr>
              <w:t>图</w:t>
            </w:r>
            <w:r>
              <w:rPr>
                <w:rFonts w:hint="eastAsia" w:ascii="Times New Roman" w:hAnsi="Times New Roman" w:cs="Times New Roman"/>
                <w:color w:val="auto"/>
                <w:highlight w:val="none"/>
                <w:lang w:val="en-US" w:eastAsia="zh-CN"/>
              </w:rPr>
              <w:t>3.4</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一般</w:t>
            </w:r>
            <w:r>
              <w:rPr>
                <w:rFonts w:hint="eastAsia" w:ascii="Times New Roman" w:hAnsi="Times New Roman" w:cs="Times New Roman"/>
                <w:color w:val="auto"/>
                <w:highlight w:val="none"/>
                <w:lang w:val="en-US" w:eastAsia="zh-CN"/>
              </w:rPr>
              <w:t>固废暂存措施</w:t>
            </w:r>
            <w:r>
              <w:rPr>
                <w:rFonts w:hint="default" w:ascii="Times New Roman" w:hAnsi="Times New Roman" w:cs="Times New Roman"/>
                <w:color w:val="auto"/>
                <w:highlight w:val="none"/>
                <w:lang w:val="en-US" w:eastAsia="zh-CN"/>
              </w:rPr>
              <w:t>照片</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7"/>
              <w:bidi w:val="0"/>
              <w:rPr>
                <w:rFonts w:hint="default"/>
                <w:highlight w:val="none"/>
                <w:lang w:val="en-US" w:eastAsia="zh-CN"/>
              </w:rPr>
            </w:pPr>
            <w:r>
              <w:rPr>
                <w:rFonts w:hint="eastAsia"/>
                <w:highlight w:val="none"/>
                <w:lang w:val="en-US" w:eastAsia="zh-CN"/>
              </w:rPr>
              <w:t>3.4.2危险废物</w:t>
            </w:r>
          </w:p>
          <w:p>
            <w:pPr>
              <w:pStyle w:val="11"/>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项目危险废物为废机油（900-249-08），贮存于公司现有24m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的</w:t>
            </w:r>
            <w:r>
              <w:rPr>
                <w:rFonts w:hint="eastAsia" w:ascii="Times New Roman" w:hAnsi="Times New Roman" w:cs="Times New Roman"/>
                <w:color w:val="auto"/>
                <w:sz w:val="24"/>
                <w:szCs w:val="24"/>
                <w:highlight w:val="none"/>
                <w:lang w:val="en-US" w:eastAsia="zh-CN"/>
              </w:rPr>
              <w:t>危废贮存</w:t>
            </w:r>
            <w:r>
              <w:rPr>
                <w:rFonts w:hint="eastAsia" w:cs="Times New Roman"/>
                <w:color w:val="auto"/>
                <w:sz w:val="24"/>
                <w:szCs w:val="24"/>
                <w:highlight w:val="none"/>
                <w:lang w:val="en-US" w:eastAsia="zh-CN"/>
              </w:rPr>
              <w:t>间，统一委托福建省三明辉润石化有限公司处置</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现有危废</w:t>
            </w:r>
            <w:r>
              <w:rPr>
                <w:rFonts w:hint="eastAsia" w:cs="Times New Roman"/>
                <w:color w:val="auto"/>
                <w:sz w:val="24"/>
                <w:szCs w:val="24"/>
                <w:highlight w:val="none"/>
                <w:lang w:val="en-US" w:eastAsia="zh-CN"/>
              </w:rPr>
              <w:t>贮存间</w:t>
            </w:r>
            <w:r>
              <w:rPr>
                <w:rFonts w:hint="eastAsia" w:ascii="Times New Roman" w:hAnsi="Times New Roman" w:cs="Times New Roman"/>
                <w:color w:val="auto"/>
                <w:sz w:val="24"/>
                <w:szCs w:val="24"/>
                <w:highlight w:val="none"/>
                <w:lang w:val="en-US" w:eastAsia="zh-CN"/>
              </w:rPr>
              <w:t>设置了导流沟和收集池；地面、墙裙、导流沟、收集池涂刷了环氧树脂防渗</w:t>
            </w:r>
            <w:r>
              <w:rPr>
                <w:rFonts w:hint="eastAsia" w:cs="Times New Roman"/>
                <w:color w:val="auto"/>
                <w:sz w:val="24"/>
                <w:szCs w:val="24"/>
                <w:highlight w:val="none"/>
                <w:lang w:val="en-US" w:eastAsia="zh-CN"/>
              </w:rPr>
              <w:t>，符合</w:t>
            </w:r>
            <w:r>
              <w:rPr>
                <w:rFonts w:hint="eastAsia" w:ascii="Times New Roman" w:hAnsi="Times New Roman" w:cs="Times New Roman"/>
                <w:color w:val="auto"/>
                <w:sz w:val="24"/>
                <w:szCs w:val="24"/>
                <w:highlight w:val="none"/>
                <w:lang w:val="en-US" w:eastAsia="zh-CN"/>
              </w:rPr>
              <w:t>《危险废物贮存污染控制标准》（GB18597-2023）</w:t>
            </w:r>
            <w:r>
              <w:rPr>
                <w:rFonts w:hint="eastAsia" w:cs="Times New Roman"/>
                <w:color w:val="auto"/>
                <w:sz w:val="24"/>
                <w:szCs w:val="24"/>
                <w:highlight w:val="none"/>
                <w:lang w:val="en-US" w:eastAsia="zh-CN"/>
              </w:rPr>
              <w:t>要求</w:t>
            </w:r>
            <w:r>
              <w:rPr>
                <w:rFonts w:hint="eastAsia" w:ascii="Times New Roman" w:hAnsi="Times New Roman" w:cs="Times New Roman"/>
                <w:color w:val="auto"/>
                <w:sz w:val="24"/>
                <w:szCs w:val="24"/>
                <w:highlight w:val="none"/>
                <w:lang w:val="en-US"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highlight w:val="none"/>
                      <w:vertAlign w:val="baseline"/>
                      <w:lang w:val="en-US" w:eastAsia="zh-CN"/>
                    </w:rPr>
                  </w:pP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现有危废贮存间大门及标识</w:t>
                  </w: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现有危废贮存间墙裙防渗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highlight w:val="none"/>
                      <w:vertAlign w:val="baseline"/>
                      <w:lang w:val="en-US" w:eastAsia="zh-CN"/>
                    </w:rPr>
                  </w:pP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现有危废贮存间导流沟及防渗</w:t>
                  </w:r>
                </w:p>
              </w:tc>
              <w:tc>
                <w:tcPr>
                  <w:tcW w:w="4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现有危废贮存间收集池</w:t>
                  </w:r>
                </w:p>
              </w:tc>
            </w:tr>
          </w:tbl>
          <w:p>
            <w:pPr>
              <w:pStyle w:val="9"/>
              <w:bidi w:val="0"/>
              <w:rPr>
                <w:rFonts w:hint="default" w:ascii="Times New Roman" w:hAnsi="Times New Roman" w:cs="Times New Roman"/>
                <w:color w:val="2929FF"/>
                <w:highlight w:val="none"/>
                <w:lang w:val="en-US" w:eastAsia="zh-CN"/>
              </w:rPr>
            </w:pPr>
            <w:r>
              <w:rPr>
                <w:rFonts w:hint="default" w:ascii="Times New Roman" w:hAnsi="Times New Roman" w:cs="Times New Roman"/>
                <w:color w:val="auto"/>
                <w:highlight w:val="none"/>
                <w:lang w:eastAsia="zh-CN"/>
              </w:rPr>
              <w:t>图</w:t>
            </w:r>
            <w:r>
              <w:rPr>
                <w:rFonts w:hint="eastAsia" w:ascii="Times New Roman" w:hAnsi="Times New Roman" w:cs="Times New Roman"/>
                <w:color w:val="auto"/>
                <w:highlight w:val="none"/>
                <w:lang w:val="en-US" w:eastAsia="zh-CN"/>
              </w:rPr>
              <w:t>3.4</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危废</w:t>
            </w:r>
            <w:r>
              <w:rPr>
                <w:rFonts w:hint="eastAsia" w:ascii="Times New Roman" w:hAnsi="Times New Roman" w:cs="Times New Roman"/>
                <w:color w:val="auto"/>
                <w:highlight w:val="none"/>
                <w:lang w:val="en-US" w:eastAsia="zh-CN"/>
              </w:rPr>
              <w:t>暂存措施</w:t>
            </w:r>
            <w:r>
              <w:rPr>
                <w:rFonts w:hint="default" w:ascii="Times New Roman" w:hAnsi="Times New Roman" w:cs="Times New Roman"/>
                <w:color w:val="auto"/>
                <w:highlight w:val="none"/>
                <w:lang w:val="en-US" w:eastAsia="zh-CN"/>
              </w:rPr>
              <w:t>照片</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7"/>
              <w:bidi w:val="0"/>
              <w:rPr>
                <w:rFonts w:hint="default" w:ascii="Times New Roman" w:hAnsi="Times New Roman" w:cs="宋体"/>
                <w:highlight w:val="none"/>
                <w:lang w:val="en-US" w:eastAsia="zh-CN"/>
              </w:rPr>
            </w:pPr>
            <w:r>
              <w:rPr>
                <w:rFonts w:hint="default" w:ascii="Times New Roman" w:hAnsi="Times New Roman" w:cs="宋体"/>
                <w:highlight w:val="none"/>
                <w:lang w:val="en-US" w:eastAsia="zh-CN"/>
              </w:rPr>
              <w:t>3.4.</w:t>
            </w:r>
            <w:r>
              <w:rPr>
                <w:rFonts w:hint="eastAsia" w:cs="宋体"/>
                <w:highlight w:val="none"/>
                <w:lang w:val="en-US" w:eastAsia="zh-CN"/>
              </w:rPr>
              <w:t>3</w:t>
            </w:r>
            <w:r>
              <w:rPr>
                <w:rFonts w:hint="default" w:ascii="Times New Roman" w:hAnsi="Times New Roman" w:cs="宋体"/>
                <w:highlight w:val="none"/>
                <w:lang w:val="en-US" w:eastAsia="zh-CN"/>
              </w:rPr>
              <w:t>生活垃圾</w:t>
            </w:r>
          </w:p>
          <w:p>
            <w:pPr>
              <w:pStyle w:val="11"/>
              <w:adjustRightInd w:val="0"/>
              <w:snapToGrid w:val="0"/>
              <w:spacing w:line="360" w:lineRule="auto"/>
              <w:ind w:firstLine="480" w:firstLineChars="200"/>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项目员工内部调剂，未新增劳动定员，不新增生活垃圾量。生活垃圾收集处置情况保持现状。依托现有垃圾收集转运设施，</w:t>
            </w:r>
            <w:r>
              <w:rPr>
                <w:rFonts w:hint="eastAsia" w:cs="Times New Roman"/>
                <w:b w:val="0"/>
                <w:bCs/>
                <w:color w:val="auto"/>
                <w:sz w:val="24"/>
                <w:szCs w:val="24"/>
                <w:highlight w:val="none"/>
                <w:lang w:val="en-US" w:eastAsia="zh-CN"/>
              </w:rPr>
              <w:t>交由</w:t>
            </w:r>
            <w:r>
              <w:rPr>
                <w:rFonts w:hint="eastAsia" w:ascii="Times New Roman" w:hAnsi="Times New Roman" w:cs="Times New Roman"/>
                <w:b w:val="0"/>
                <w:bCs/>
                <w:color w:val="auto"/>
                <w:sz w:val="24"/>
                <w:szCs w:val="24"/>
                <w:highlight w:val="none"/>
                <w:lang w:val="en-US" w:eastAsia="zh-CN"/>
              </w:rPr>
              <w:t>环卫部门定期清运处置</w:t>
            </w:r>
            <w:r>
              <w:rPr>
                <w:rFonts w:hint="eastAsia" w:cs="Times New Roman"/>
                <w:b w:val="0"/>
                <w:bCs/>
                <w:color w:val="auto"/>
                <w:sz w:val="24"/>
                <w:szCs w:val="24"/>
                <w:highlight w:val="none"/>
                <w:lang w:val="en-US" w:eastAsia="zh-CN"/>
              </w:rPr>
              <w:t>。</w:t>
            </w:r>
          </w:p>
          <w:p>
            <w:pPr>
              <w:pStyle w:val="6"/>
              <w:keepNext/>
              <w:keepLines w:val="0"/>
              <w:pageBreakBefore w:val="0"/>
              <w:widowControl w:val="0"/>
              <w:kinsoku/>
              <w:wordWrap/>
              <w:overflowPunct/>
              <w:topLinePunct w:val="0"/>
              <w:autoSpaceDE/>
              <w:autoSpaceDN/>
              <w:bidi w:val="0"/>
              <w:adjustRightInd/>
              <w:snapToGrid/>
              <w:spacing w:before="160" w:beforeLines="50" w:after="160" w:afterLines="50" w:line="240" w:lineRule="auto"/>
              <w:textAlignment w:val="auto"/>
              <w:rPr>
                <w:rFonts w:hint="default" w:ascii="Times New Roman" w:hAnsi="Times New Roman" w:cs="Times New Roman"/>
                <w:highlight w:val="none"/>
                <w:lang w:val="en-US" w:eastAsia="zh-CN"/>
              </w:rPr>
            </w:pPr>
            <w:bookmarkStart w:id="29" w:name="_Toc18923"/>
            <w:r>
              <w:rPr>
                <w:rFonts w:hint="default" w:ascii="Times New Roman" w:hAnsi="Times New Roman" w:cs="Times New Roman"/>
                <w:highlight w:val="none"/>
                <w:lang w:val="en-US" w:eastAsia="zh-CN"/>
              </w:rPr>
              <w:t>3.5环境风险防范</w:t>
            </w:r>
            <w:bookmarkEnd w:id="29"/>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厂区南侧已建立1个400m</w:t>
            </w:r>
            <w:r>
              <w:rPr>
                <w:rFonts w:hint="eastAsia" w:cs="Times New Roman"/>
                <w:sz w:val="24"/>
                <w:szCs w:val="24"/>
                <w:highlight w:val="none"/>
                <w:vertAlign w:val="superscript"/>
                <w:lang w:val="en-US" w:eastAsia="zh-CN"/>
              </w:rPr>
              <w:t>3</w:t>
            </w:r>
            <w:r>
              <w:rPr>
                <w:rFonts w:hint="eastAsia" w:cs="Times New Roman"/>
                <w:sz w:val="24"/>
                <w:szCs w:val="24"/>
                <w:highlight w:val="none"/>
                <w:lang w:val="en-US" w:eastAsia="zh-CN"/>
              </w:rPr>
              <w:t>事故应急池，并接入厂区现有雨水管网，项目事故废水可依托现有事故应急设施收集。</w:t>
            </w:r>
          </w:p>
          <w:tbl>
            <w:tblPr>
              <w:tblStyle w:val="2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4536" w:type="dxa"/>
                  <w:noWrap w:val="0"/>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eastAsia="zh-CN"/>
                    </w:rPr>
                  </w:pPr>
                </w:p>
              </w:tc>
              <w:tc>
                <w:tcPr>
                  <w:tcW w:w="4536" w:type="dxa"/>
                  <w:noWrap w:val="0"/>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4536" w:type="dxa"/>
                  <w:noWrap w:val="0"/>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现有事故应急池</w:t>
                  </w:r>
                </w:p>
              </w:tc>
              <w:tc>
                <w:tcPr>
                  <w:tcW w:w="4536" w:type="dxa"/>
                  <w:noWrap w:val="0"/>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现有</w:t>
                  </w:r>
                  <w:r>
                    <w:rPr>
                      <w:rFonts w:hint="default" w:ascii="Times New Roman" w:hAnsi="Times New Roman" w:eastAsia="宋体" w:cs="Times New Roman"/>
                      <w:color w:val="auto"/>
                      <w:kern w:val="2"/>
                      <w:sz w:val="21"/>
                      <w:szCs w:val="21"/>
                      <w:highlight w:val="none"/>
                      <w:lang w:val="en-US" w:eastAsia="zh-CN" w:bidi="ar-SA"/>
                    </w:rPr>
                    <w:t>应急物资</w:t>
                  </w:r>
                </w:p>
              </w:tc>
            </w:tr>
          </w:tbl>
          <w:p>
            <w:pPr>
              <w:pStyle w:val="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图3.5-1  环境风险防范设施照片</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6"/>
              <w:keepNext/>
              <w:keepLines w:val="0"/>
              <w:pageBreakBefore w:val="0"/>
              <w:widowControl w:val="0"/>
              <w:kinsoku/>
              <w:wordWrap/>
              <w:overflowPunct/>
              <w:topLinePunct w:val="0"/>
              <w:autoSpaceDE/>
              <w:autoSpaceDN/>
              <w:bidi w:val="0"/>
              <w:adjustRightInd/>
              <w:snapToGrid/>
              <w:spacing w:before="319" w:beforeLines="100" w:after="160" w:afterLines="50" w:line="240" w:lineRule="auto"/>
              <w:textAlignment w:val="auto"/>
              <w:rPr>
                <w:rFonts w:hint="default" w:ascii="Times New Roman" w:hAnsi="Times New Roman" w:cs="Times New Roman"/>
                <w:highlight w:val="none"/>
                <w:lang w:val="en-US" w:eastAsia="zh-CN"/>
              </w:rPr>
            </w:pPr>
            <w:bookmarkStart w:id="30" w:name="_Toc31410"/>
            <w:r>
              <w:rPr>
                <w:rFonts w:hint="default" w:ascii="Times New Roman" w:hAnsi="Times New Roman" w:cs="Times New Roman"/>
                <w:highlight w:val="none"/>
                <w:lang w:val="en-US" w:eastAsia="zh-CN"/>
              </w:rPr>
              <w:t>3.6规范化排污口</w:t>
            </w:r>
            <w:bookmarkEnd w:id="30"/>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已</w:t>
            </w:r>
            <w:r>
              <w:rPr>
                <w:rFonts w:hint="eastAsia" w:cs="Times New Roman"/>
                <w:color w:val="auto"/>
                <w:sz w:val="24"/>
                <w:szCs w:val="24"/>
                <w:highlight w:val="none"/>
                <w:lang w:val="en-US" w:eastAsia="zh-CN"/>
              </w:rPr>
              <w:t>将</w:t>
            </w:r>
            <w:r>
              <w:rPr>
                <w:rFonts w:hint="default" w:ascii="Times New Roman" w:hAnsi="Times New Roman" w:cs="Times New Roman"/>
                <w:color w:val="auto"/>
                <w:sz w:val="24"/>
                <w:szCs w:val="24"/>
                <w:highlight w:val="none"/>
              </w:rPr>
              <w:t>废气排放口规范化</w:t>
            </w:r>
            <w:r>
              <w:rPr>
                <w:rFonts w:hint="default" w:ascii="Times New Roman" w:hAnsi="Times New Roman" w:cs="Times New Roman"/>
                <w:sz w:val="24"/>
                <w:szCs w:val="24"/>
                <w:highlight w:val="none"/>
              </w:rPr>
              <w:t>，废气排放口设有标志牌，废气已经搭设监测平台，设立了通往监测平台通道，按规范设置了监测孔。</w:t>
            </w:r>
          </w:p>
          <w:tbl>
            <w:tblPr>
              <w:tblStyle w:val="2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536" w:type="dxa"/>
                  <w:noWrap w:val="0"/>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lang w:eastAsia="zh-CN"/>
                    </w:rPr>
                  </w:pPr>
                </w:p>
              </w:tc>
              <w:tc>
                <w:tcPr>
                  <w:tcW w:w="4536" w:type="dxa"/>
                  <w:noWrap w:val="0"/>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536" w:type="dxa"/>
                  <w:noWrap w:val="0"/>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highlight w:val="yellow"/>
                      <w:lang w:val="en-US" w:eastAsia="zh-CN"/>
                    </w:rPr>
                  </w:pPr>
                  <w:r>
                    <w:rPr>
                      <w:rFonts w:hint="eastAsia" w:ascii="Times New Roman" w:hAnsi="Times New Roman" w:cs="Times New Roman"/>
                      <w:color w:val="auto"/>
                      <w:sz w:val="21"/>
                      <w:szCs w:val="21"/>
                      <w:highlight w:val="none"/>
                      <w:lang w:val="en-US" w:eastAsia="zh-CN"/>
                    </w:rPr>
                    <w:t>废气排放标识牌</w:t>
                  </w:r>
                </w:p>
              </w:tc>
              <w:tc>
                <w:tcPr>
                  <w:tcW w:w="4536" w:type="dxa"/>
                  <w:noWrap w:val="0"/>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highlight w:val="yellow"/>
                      <w:lang w:val="en-US" w:eastAsia="zh-CN"/>
                    </w:rPr>
                  </w:pPr>
                  <w:r>
                    <w:rPr>
                      <w:rFonts w:hint="eastAsia" w:ascii="Times New Roman" w:hAnsi="Times New Roman" w:cs="Times New Roman"/>
                      <w:color w:val="auto"/>
                      <w:sz w:val="21"/>
                      <w:szCs w:val="21"/>
                      <w:highlight w:val="none"/>
                      <w:lang w:val="en-US" w:eastAsia="zh-CN"/>
                    </w:rPr>
                    <w:t>废气监测平台</w:t>
                  </w:r>
                </w:p>
              </w:tc>
            </w:tr>
          </w:tbl>
          <w:p>
            <w:pPr>
              <w:pStyle w:val="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图3.6-1  规范化排污口照片</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bidi w:val="0"/>
              <w:rPr>
                <w:rFonts w:hint="default"/>
                <w:lang w:val="en-US" w:eastAsia="zh-CN"/>
              </w:rPr>
            </w:pPr>
          </w:p>
          <w:p>
            <w:pPr>
              <w:bidi w:val="0"/>
              <w:rPr>
                <w:rFonts w:hint="default"/>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ascii="Times New Roman" w:hAnsi="Times New Roman" w:cs="Times New Roman"/>
                <w:szCs w:val="24"/>
                <w:highlight w:val="none"/>
              </w:rPr>
            </w:pPr>
          </w:p>
        </w:tc>
      </w:tr>
    </w:tbl>
    <w:p>
      <w:pPr>
        <w:bidi w:val="0"/>
        <w:rPr>
          <w:rFonts w:hint="default" w:ascii="Times New Roman" w:hAnsi="Times New Roman" w:cs="Times New Roman"/>
          <w:highlight w:val="none"/>
          <w:lang w:eastAsia="zh-CN"/>
        </w:rPr>
        <w:sectPr>
          <w:pgSz w:w="11906" w:h="16838"/>
          <w:pgMar w:top="1417" w:right="1417" w:bottom="1417" w:left="1417" w:header="851" w:footer="992" w:gutter="0"/>
          <w:pgNumType w:fmt="decimal"/>
          <w:cols w:space="720" w:num="1"/>
          <w:rtlGutter w:val="0"/>
          <w:docGrid w:type="lines" w:linePitch="318" w:charSpace="0"/>
        </w:sectPr>
      </w:pPr>
      <w:bookmarkStart w:id="31" w:name="_Toc19051"/>
    </w:p>
    <w:p>
      <w:pPr>
        <w:pStyle w:val="5"/>
        <w:keepNext/>
        <w:keepLines/>
        <w:pageBreakBefore w:val="0"/>
        <w:widowControl w:val="0"/>
        <w:kinsoku/>
        <w:wordWrap/>
        <w:overflowPunct/>
        <w:topLinePunct w:val="0"/>
        <w:autoSpaceDE/>
        <w:autoSpaceDN/>
        <w:bidi w:val="0"/>
        <w:adjustRightInd w:val="0"/>
        <w:snapToGrid w:val="0"/>
        <w:spacing w:before="224" w:beforeLines="70" w:after="224" w:afterLines="70"/>
        <w:textAlignment w:val="auto"/>
        <w:rPr>
          <w:rFonts w:hint="default" w:ascii="Times New Roman" w:hAnsi="Times New Roman" w:cs="Times New Roman"/>
          <w:highlight w:val="none"/>
          <w:lang w:val="en-US" w:eastAsia="zh-CN"/>
        </w:rPr>
      </w:pPr>
      <w:bookmarkStart w:id="32" w:name="_Toc15274"/>
      <w:r>
        <w:rPr>
          <w:rFonts w:hint="default" w:ascii="Times New Roman" w:hAnsi="Times New Roman" w:cs="Times New Roman"/>
          <w:highlight w:val="none"/>
          <w:lang w:eastAsia="zh-CN"/>
        </w:rPr>
        <w:t>表四</w:t>
      </w:r>
      <w:r>
        <w:rPr>
          <w:rFonts w:hint="default" w:ascii="Times New Roman" w:hAnsi="Times New Roman" w:cs="Times New Roman"/>
          <w:highlight w:val="none"/>
          <w:lang w:val="en-US" w:eastAsia="zh-CN"/>
        </w:rPr>
        <w:t xml:space="preserve">  环评报告表主要结论及审批部门审批决定</w:t>
      </w:r>
      <w:bookmarkEnd w:id="31"/>
      <w:bookmarkEnd w:id="32"/>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288" w:type="dxa"/>
            <w:noWrap w:val="0"/>
            <w:vAlign w:val="center"/>
          </w:tcPr>
          <w:p>
            <w:pPr>
              <w:pStyle w:val="6"/>
              <w:keepNext/>
              <w:keepLines w:val="0"/>
              <w:pageBreakBefore w:val="0"/>
              <w:widowControl w:val="0"/>
              <w:kinsoku/>
              <w:wordWrap/>
              <w:overflowPunct/>
              <w:topLinePunct w:val="0"/>
              <w:autoSpaceDE/>
              <w:autoSpaceDN/>
              <w:bidi w:val="0"/>
              <w:adjustRightInd/>
              <w:snapToGrid w:val="0"/>
              <w:spacing w:before="160" w:beforeLines="50" w:after="160" w:afterLines="50" w:line="240" w:lineRule="auto"/>
              <w:textAlignment w:val="auto"/>
              <w:rPr>
                <w:rFonts w:hint="default" w:ascii="Times New Roman" w:hAnsi="Times New Roman" w:cs="Times New Roman"/>
                <w:highlight w:val="none"/>
                <w:lang w:val="en-US" w:eastAsia="zh-CN"/>
              </w:rPr>
            </w:pPr>
            <w:bookmarkStart w:id="33" w:name="_Toc330477960"/>
            <w:bookmarkStart w:id="34" w:name="_Toc11987"/>
            <w:bookmarkStart w:id="35" w:name="_Toc20686"/>
            <w:r>
              <w:rPr>
                <w:rFonts w:hint="default" w:ascii="Times New Roman" w:hAnsi="Times New Roman" w:cs="Times New Roman"/>
                <w:highlight w:val="none"/>
                <w:lang w:val="en-US" w:eastAsia="zh-CN"/>
              </w:rPr>
              <w:t>4.1环评报告表结论与建议</w:t>
            </w:r>
            <w:r>
              <w:rPr>
                <w:rFonts w:hint="eastAsia" w:cs="Times New Roman"/>
                <w:highlight w:val="none"/>
                <w:lang w:val="en-US" w:eastAsia="zh-CN"/>
              </w:rPr>
              <w:t>（</w:t>
            </w:r>
            <w:r>
              <w:rPr>
                <w:rFonts w:hint="default" w:ascii="Times New Roman" w:hAnsi="Times New Roman" w:cs="Times New Roman"/>
                <w:highlight w:val="none"/>
                <w:lang w:val="en-US" w:eastAsia="zh-CN"/>
              </w:rPr>
              <w:t>摘录</w:t>
            </w:r>
            <w:bookmarkEnd w:id="33"/>
            <w:bookmarkEnd w:id="34"/>
            <w:r>
              <w:rPr>
                <w:rFonts w:hint="eastAsia" w:cs="Times New Roman"/>
                <w:highlight w:val="none"/>
                <w:lang w:val="en-US" w:eastAsia="zh-CN"/>
              </w:rPr>
              <w:t>）</w:t>
            </w:r>
            <w:bookmarkEnd w:id="35"/>
          </w:p>
          <w:p>
            <w:pPr>
              <w:pStyle w:val="7"/>
              <w:keepNext/>
              <w:keepLines/>
              <w:pageBreakBefore w:val="0"/>
              <w:widowControl w:val="0"/>
              <w:kinsoku/>
              <w:wordWrap/>
              <w:overflowPunct/>
              <w:topLinePunct w:val="0"/>
              <w:autoSpaceDE/>
              <w:autoSpaceDN/>
              <w:bidi w:val="0"/>
              <w:adjustRightInd/>
              <w:snapToGrid/>
              <w:spacing w:line="240" w:lineRule="auto"/>
              <w:textAlignment w:val="auto"/>
              <w:outlineLvl w:val="2"/>
              <w:rPr>
                <w:rFonts w:hint="default" w:ascii="Times New Roman" w:hAnsi="Times New Roman" w:cs="Times New Roman"/>
                <w:highlight w:val="none"/>
                <w:lang w:val="en-US" w:eastAsia="zh-CN"/>
              </w:rPr>
            </w:pPr>
            <w:bookmarkStart w:id="36" w:name="_Toc13678"/>
            <w:r>
              <w:rPr>
                <w:rFonts w:hint="default" w:ascii="Times New Roman" w:hAnsi="Times New Roman" w:cs="Times New Roman"/>
                <w:highlight w:val="none"/>
                <w:lang w:val="en-US" w:eastAsia="zh-CN"/>
              </w:rPr>
              <w:t>4.1.1水环境影响</w:t>
            </w:r>
            <w:bookmarkEnd w:id="36"/>
          </w:p>
          <w:p>
            <w:pPr>
              <w:pStyle w:val="8"/>
              <w:rPr>
                <w:rFonts w:hint="default" w:ascii="Times New Roman" w:hAnsi="Times New Roman" w:cs="Times New Roman"/>
                <w:highlight w:val="none"/>
              </w:rPr>
            </w:pPr>
            <w:bookmarkStart w:id="37" w:name="_Toc15320"/>
            <w:r>
              <w:rPr>
                <w:rFonts w:hint="default" w:ascii="Times New Roman" w:hAnsi="Times New Roman" w:cs="Times New Roman"/>
                <w:highlight w:val="none"/>
                <w:lang w:val="en-US" w:eastAsia="zh-CN"/>
              </w:rPr>
              <w:t>4</w:t>
            </w:r>
            <w:r>
              <w:rPr>
                <w:rFonts w:hint="default" w:ascii="Times New Roman" w:hAnsi="Times New Roman" w:cs="Times New Roman"/>
                <w:highlight w:val="none"/>
              </w:rPr>
              <w:t>.1.1.1环境保护目标</w:t>
            </w:r>
            <w:bookmarkEnd w:id="37"/>
          </w:p>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highlight w:val="none"/>
                <w:u w:val="single"/>
                <w:lang w:val="en-US" w:eastAsia="zh-CN"/>
              </w:rPr>
            </w:pPr>
            <w:r>
              <w:rPr>
                <w:rFonts w:hint="eastAsia" w:ascii="Times New Roman" w:hAnsi="Times New Roman" w:cs="Times New Roman"/>
                <w:sz w:val="24"/>
                <w:szCs w:val="24"/>
                <w:highlight w:val="none"/>
                <w:u w:val="single"/>
                <w:lang w:val="en-US" w:eastAsia="zh-CN"/>
              </w:rPr>
              <w:t>福安市白马港海水。</w:t>
            </w:r>
          </w:p>
          <w:p>
            <w:pPr>
              <w:pStyle w:val="8"/>
              <w:rPr>
                <w:rFonts w:hint="default" w:ascii="Times New Roman" w:hAnsi="Times New Roman" w:cs="Times New Roman"/>
                <w:highlight w:val="none"/>
              </w:rPr>
            </w:pPr>
            <w:bookmarkStart w:id="38" w:name="_Toc30937"/>
            <w:r>
              <w:rPr>
                <w:rFonts w:hint="default" w:ascii="Times New Roman" w:hAnsi="Times New Roman" w:cs="Times New Roman"/>
                <w:highlight w:val="none"/>
                <w:lang w:val="en-US" w:eastAsia="zh-CN"/>
              </w:rPr>
              <w:t>4</w:t>
            </w:r>
            <w:r>
              <w:rPr>
                <w:rFonts w:hint="default" w:ascii="Times New Roman" w:hAnsi="Times New Roman" w:cs="Times New Roman"/>
                <w:highlight w:val="none"/>
              </w:rPr>
              <w:t>.1.1.2水环境现状</w:t>
            </w:r>
            <w:bookmarkEnd w:id="38"/>
          </w:p>
          <w:p>
            <w:pPr>
              <w:adjustRightInd w:val="0"/>
              <w:snapToGrid w:val="0"/>
              <w:spacing w:line="360" w:lineRule="auto"/>
              <w:ind w:firstLine="480" w:firstLineChars="200"/>
              <w:rPr>
                <w:rFonts w:hint="default" w:ascii="Times New Roman" w:hAnsi="Times New Roman" w:cs="Times New Roman"/>
                <w:bCs/>
                <w:color w:val="auto"/>
                <w:sz w:val="24"/>
                <w:highlight w:val="none"/>
                <w:u w:val="single"/>
              </w:rPr>
            </w:pPr>
            <w:r>
              <w:rPr>
                <w:rFonts w:hint="default" w:ascii="Times New Roman" w:hAnsi="Times New Roman" w:cs="Times New Roman"/>
                <w:bCs/>
                <w:color w:val="auto"/>
                <w:sz w:val="24"/>
                <w:highlight w:val="none"/>
                <w:u w:val="single"/>
              </w:rPr>
              <w:t>海水水质中除无机氮和活性磷酸盐存在超标外，其余各监测项目都可以达到《海水水质标准》（GB 3097-1997）第三类标准。该海域无机氮和活性磷酸盐超标的主要原因，可能受规划区域附近海域沿岸村庄生活污水排放，三都澳口小腹大水体交换能力差的影响。</w:t>
            </w:r>
          </w:p>
          <w:p>
            <w:pPr>
              <w:pStyle w:val="8"/>
              <w:rPr>
                <w:rFonts w:hint="default" w:ascii="Times New Roman" w:hAnsi="Times New Roman" w:cs="Times New Roman"/>
                <w:highlight w:val="none"/>
              </w:rPr>
            </w:pPr>
            <w:bookmarkStart w:id="39" w:name="_Toc13385"/>
            <w:r>
              <w:rPr>
                <w:rFonts w:hint="default" w:ascii="Times New Roman" w:hAnsi="Times New Roman" w:cs="Times New Roman"/>
                <w:highlight w:val="none"/>
                <w:lang w:val="en-US" w:eastAsia="zh-CN"/>
              </w:rPr>
              <w:t>4</w:t>
            </w:r>
            <w:r>
              <w:rPr>
                <w:rFonts w:hint="default" w:ascii="Times New Roman" w:hAnsi="Times New Roman" w:cs="Times New Roman"/>
                <w:highlight w:val="none"/>
              </w:rPr>
              <w:t>.1.1.3水环境影响分析结论</w:t>
            </w:r>
            <w:bookmarkEnd w:id="39"/>
          </w:p>
          <w:p>
            <w:pPr>
              <w:pStyle w:val="27"/>
              <w:spacing w:before="0" w:after="0" w:line="360" w:lineRule="auto"/>
              <w:ind w:right="0" w:firstLine="480"/>
              <w:rPr>
                <w:rFonts w:hint="eastAsia" w:cs="Times New Roman"/>
                <w:color w:val="auto"/>
                <w:sz w:val="24"/>
                <w:szCs w:val="24"/>
                <w:highlight w:val="none"/>
                <w:u w:val="single"/>
                <w:lang w:val="en-US" w:eastAsia="zh-CN"/>
              </w:rPr>
            </w:pPr>
            <w:r>
              <w:rPr>
                <w:rFonts w:hint="eastAsia" w:cs="Times New Roman"/>
                <w:color w:val="auto"/>
                <w:sz w:val="24"/>
                <w:szCs w:val="24"/>
                <w:highlight w:val="none"/>
                <w:u w:val="single"/>
                <w:lang w:val="en-US" w:eastAsia="zh-CN"/>
              </w:rPr>
              <w:t>项目无生产废水产生。项目生产的劳动定员由福安市青拓环保建材有限公司内部调配，厂区不新增加新的人员，因此不增加生活污水的排放，生活污水依托厂区内地埋式化粪池处理后排放湾坞污水处理厂进一步处理，园区污水管网已建成。</w:t>
            </w:r>
          </w:p>
          <w:p>
            <w:pPr>
              <w:pStyle w:val="8"/>
              <w:rPr>
                <w:rFonts w:hint="default" w:ascii="Times New Roman" w:hAnsi="Times New Roman" w:cs="Times New Roman"/>
                <w:highlight w:val="none"/>
              </w:rPr>
            </w:pPr>
            <w:bookmarkStart w:id="40" w:name="_Toc16656"/>
            <w:r>
              <w:rPr>
                <w:rFonts w:hint="default" w:ascii="Times New Roman" w:hAnsi="Times New Roman" w:cs="Times New Roman"/>
                <w:highlight w:val="none"/>
                <w:lang w:val="en-US" w:eastAsia="zh-CN"/>
              </w:rPr>
              <w:t>4</w:t>
            </w:r>
            <w:r>
              <w:rPr>
                <w:rFonts w:hint="default" w:ascii="Times New Roman" w:hAnsi="Times New Roman" w:cs="Times New Roman"/>
                <w:highlight w:val="none"/>
              </w:rPr>
              <w:t>.1.1.4主要环保措施</w:t>
            </w:r>
            <w:bookmarkEnd w:id="4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生活污水经化粪池处理后排入福安市湾坞西片区污水处理厂</w:t>
            </w:r>
            <w:r>
              <w:rPr>
                <w:rFonts w:hint="eastAsia" w:cs="Times New Roman"/>
                <w:color w:val="auto"/>
                <w:sz w:val="24"/>
                <w:szCs w:val="24"/>
                <w:highlight w:val="none"/>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初期雨水</w:t>
            </w:r>
            <w:r>
              <w:rPr>
                <w:rFonts w:hint="eastAsia" w:cs="Times New Roman"/>
                <w:color w:val="auto"/>
                <w:sz w:val="24"/>
                <w:szCs w:val="24"/>
                <w:highlight w:val="none"/>
                <w:u w:val="single"/>
                <w:lang w:val="en-US" w:eastAsia="zh-CN"/>
              </w:rPr>
              <w:t>由现有初期雨水收集池收集，</w:t>
            </w:r>
            <w:r>
              <w:rPr>
                <w:rFonts w:hint="default" w:ascii="Times New Roman" w:hAnsi="Times New Roman" w:eastAsia="宋体" w:cs="Times New Roman"/>
                <w:color w:val="auto"/>
                <w:sz w:val="24"/>
                <w:szCs w:val="24"/>
                <w:highlight w:val="none"/>
                <w:u w:val="single"/>
                <w:lang w:val="en-US" w:eastAsia="zh-CN"/>
              </w:rPr>
              <w:t>经沉淀+过滤处理后排入湾坞西污水处理厂统一处理</w:t>
            </w:r>
            <w:r>
              <w:rPr>
                <w:rFonts w:hint="eastAsia" w:cs="Times New Roman"/>
                <w:color w:val="auto"/>
                <w:sz w:val="24"/>
                <w:szCs w:val="24"/>
                <w:highlight w:val="none"/>
                <w:u w:val="single"/>
                <w:lang w:val="en-US" w:eastAsia="zh-CN"/>
              </w:rPr>
              <w:t>。</w:t>
            </w:r>
          </w:p>
          <w:p>
            <w:pPr>
              <w:pStyle w:val="7"/>
              <w:rPr>
                <w:rFonts w:hint="default" w:ascii="Times New Roman" w:hAnsi="Times New Roman" w:cs="Times New Roman"/>
                <w:highlight w:val="none"/>
                <w:lang w:val="en-US" w:eastAsia="zh-CN"/>
              </w:rPr>
            </w:pPr>
            <w:bookmarkStart w:id="41" w:name="_Toc23077"/>
            <w:r>
              <w:rPr>
                <w:rFonts w:hint="default" w:ascii="Times New Roman" w:hAnsi="Times New Roman" w:cs="Times New Roman"/>
                <w:highlight w:val="none"/>
                <w:lang w:val="en-US" w:eastAsia="zh-CN"/>
              </w:rPr>
              <w:t>4.1.2大气环境影响</w:t>
            </w:r>
            <w:bookmarkEnd w:id="41"/>
          </w:p>
          <w:p>
            <w:pPr>
              <w:pStyle w:val="8"/>
              <w:rPr>
                <w:rFonts w:hint="default" w:ascii="Times New Roman" w:hAnsi="Times New Roman" w:cs="Times New Roman"/>
                <w:highlight w:val="none"/>
              </w:rPr>
            </w:pPr>
            <w:bookmarkStart w:id="42" w:name="_Toc6809"/>
            <w:r>
              <w:rPr>
                <w:rFonts w:hint="default" w:ascii="Times New Roman" w:hAnsi="Times New Roman" w:cs="Times New Roman"/>
                <w:highlight w:val="none"/>
                <w:lang w:val="en-US" w:eastAsia="zh-CN"/>
              </w:rPr>
              <w:t>4</w:t>
            </w:r>
            <w:r>
              <w:rPr>
                <w:rFonts w:hint="default" w:ascii="Times New Roman" w:hAnsi="Times New Roman" w:cs="Times New Roman"/>
                <w:highlight w:val="none"/>
              </w:rPr>
              <w:t>.1.2.1环境空气保护目标</w:t>
            </w:r>
            <w:bookmarkEnd w:id="42"/>
          </w:p>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u w:val="single"/>
                <w:lang w:val="en-US" w:eastAsia="zh-CN"/>
              </w:rPr>
            </w:pPr>
            <w:r>
              <w:rPr>
                <w:rFonts w:hint="eastAsia" w:ascii="Times New Roman" w:hAnsi="Times New Roman" w:cs="Times New Roman"/>
                <w:color w:val="auto"/>
                <w:sz w:val="24"/>
                <w:szCs w:val="24"/>
                <w:highlight w:val="none"/>
                <w:u w:val="single"/>
                <w:lang w:val="en-US" w:eastAsia="zh-CN"/>
              </w:rPr>
              <w:t>厂界外500米范围内，无自然保护区、风景名胜区、居住区、文化区和农村地区中人群较集中的区域</w:t>
            </w:r>
            <w:r>
              <w:rPr>
                <w:rFonts w:hint="eastAsia" w:cs="Times New Roman"/>
                <w:color w:val="auto"/>
                <w:sz w:val="24"/>
                <w:szCs w:val="24"/>
                <w:highlight w:val="none"/>
                <w:u w:val="single"/>
                <w:lang w:val="en-US" w:eastAsia="zh-CN"/>
              </w:rPr>
              <w:t>。</w:t>
            </w:r>
          </w:p>
          <w:p>
            <w:pPr>
              <w:pStyle w:val="8"/>
              <w:rPr>
                <w:rFonts w:hint="default" w:ascii="Times New Roman" w:hAnsi="Times New Roman" w:cs="Times New Roman"/>
                <w:color w:val="auto"/>
                <w:highlight w:val="none"/>
              </w:rPr>
            </w:pPr>
            <w:bookmarkStart w:id="43" w:name="_Toc622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.1.2.2环境空气质量现状</w:t>
            </w:r>
            <w:bookmarkEnd w:id="43"/>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z w:val="24"/>
                <w:highlight w:val="none"/>
                <w:u w:val="single"/>
                <w:lang w:val="en-US" w:eastAsia="zh-CN"/>
              </w:rPr>
            </w:pPr>
            <w:r>
              <w:rPr>
                <w:rFonts w:hint="eastAsia" w:cs="Times New Roman"/>
                <w:bCs/>
                <w:color w:val="auto"/>
                <w:sz w:val="24"/>
                <w:highlight w:val="none"/>
                <w:u w:val="single"/>
                <w:lang w:val="en-US" w:eastAsia="zh-CN"/>
              </w:rPr>
              <w:t>项目所在区域6项基本因子SO</w:t>
            </w:r>
            <w:r>
              <w:rPr>
                <w:rFonts w:hint="eastAsia" w:cs="Times New Roman"/>
                <w:bCs/>
                <w:color w:val="auto"/>
                <w:sz w:val="24"/>
                <w:highlight w:val="none"/>
                <w:u w:val="single"/>
                <w:vertAlign w:val="subscript"/>
                <w:lang w:val="en-US" w:eastAsia="zh-CN"/>
              </w:rPr>
              <w:t>2</w:t>
            </w:r>
            <w:r>
              <w:rPr>
                <w:rFonts w:hint="eastAsia" w:cs="Times New Roman"/>
                <w:bCs/>
                <w:color w:val="auto"/>
                <w:sz w:val="24"/>
                <w:highlight w:val="none"/>
                <w:u w:val="single"/>
                <w:lang w:val="en-US" w:eastAsia="zh-CN"/>
              </w:rPr>
              <w:t>、NO</w:t>
            </w:r>
            <w:r>
              <w:rPr>
                <w:rFonts w:hint="eastAsia" w:cs="Times New Roman"/>
                <w:bCs/>
                <w:color w:val="auto"/>
                <w:sz w:val="24"/>
                <w:highlight w:val="none"/>
                <w:u w:val="single"/>
                <w:vertAlign w:val="subscript"/>
                <w:lang w:val="en-US" w:eastAsia="zh-CN"/>
              </w:rPr>
              <w:t>2</w:t>
            </w:r>
            <w:r>
              <w:rPr>
                <w:rFonts w:hint="eastAsia" w:cs="Times New Roman"/>
                <w:bCs/>
                <w:color w:val="auto"/>
                <w:sz w:val="24"/>
                <w:highlight w:val="none"/>
                <w:u w:val="single"/>
                <w:lang w:val="en-US" w:eastAsia="zh-CN"/>
              </w:rPr>
              <w:t>、CO、O</w:t>
            </w:r>
            <w:r>
              <w:rPr>
                <w:rFonts w:hint="eastAsia" w:cs="Times New Roman"/>
                <w:bCs/>
                <w:color w:val="auto"/>
                <w:sz w:val="24"/>
                <w:highlight w:val="none"/>
                <w:u w:val="single"/>
                <w:vertAlign w:val="subscript"/>
                <w:lang w:val="en-US" w:eastAsia="zh-CN"/>
              </w:rPr>
              <w:t>3</w:t>
            </w:r>
            <w:r>
              <w:rPr>
                <w:rFonts w:hint="eastAsia" w:cs="Times New Roman"/>
                <w:bCs/>
                <w:color w:val="auto"/>
                <w:sz w:val="24"/>
                <w:highlight w:val="none"/>
                <w:u w:val="single"/>
                <w:lang w:val="en-US" w:eastAsia="zh-CN"/>
              </w:rPr>
              <w:t>、PM</w:t>
            </w:r>
            <w:r>
              <w:rPr>
                <w:rFonts w:hint="eastAsia" w:cs="Times New Roman"/>
                <w:bCs/>
                <w:color w:val="auto"/>
                <w:sz w:val="24"/>
                <w:highlight w:val="none"/>
                <w:u w:val="single"/>
                <w:vertAlign w:val="subscript"/>
                <w:lang w:val="en-US" w:eastAsia="zh-CN"/>
              </w:rPr>
              <w:t>10</w:t>
            </w:r>
            <w:r>
              <w:rPr>
                <w:rFonts w:hint="eastAsia" w:cs="Times New Roman"/>
                <w:bCs/>
                <w:color w:val="auto"/>
                <w:sz w:val="24"/>
                <w:highlight w:val="none"/>
                <w:u w:val="single"/>
                <w:lang w:val="en-US" w:eastAsia="zh-CN"/>
              </w:rPr>
              <w:t>、PM</w:t>
            </w:r>
            <w:r>
              <w:rPr>
                <w:rFonts w:hint="eastAsia" w:cs="Times New Roman"/>
                <w:bCs/>
                <w:color w:val="auto"/>
                <w:sz w:val="24"/>
                <w:highlight w:val="none"/>
                <w:u w:val="single"/>
                <w:vertAlign w:val="subscript"/>
                <w:lang w:val="en-US" w:eastAsia="zh-CN"/>
              </w:rPr>
              <w:t>2.5</w:t>
            </w:r>
            <w:r>
              <w:rPr>
                <w:rFonts w:hint="eastAsia" w:cs="Times New Roman"/>
                <w:bCs/>
                <w:color w:val="auto"/>
                <w:sz w:val="24"/>
                <w:highlight w:val="none"/>
                <w:u w:val="single"/>
                <w:lang w:val="en-US" w:eastAsia="zh-CN"/>
              </w:rPr>
              <w:t>的浓度均低于《环境空气质量标准》（GB3095-2012）中二级标准限值，福安市属于达标区域。</w:t>
            </w:r>
          </w:p>
          <w:p>
            <w:pPr>
              <w:pStyle w:val="8"/>
              <w:rPr>
                <w:rFonts w:hint="default" w:ascii="Times New Roman" w:hAnsi="Times New Roman" w:cs="Times New Roman"/>
                <w:highlight w:val="none"/>
              </w:rPr>
            </w:pPr>
            <w:bookmarkStart w:id="44" w:name="_Toc31565"/>
            <w:r>
              <w:rPr>
                <w:rFonts w:hint="default" w:ascii="Times New Roman" w:hAnsi="Times New Roman" w:cs="Times New Roman"/>
                <w:highlight w:val="none"/>
                <w:lang w:val="en-US" w:eastAsia="zh-CN"/>
              </w:rPr>
              <w:t>4</w:t>
            </w:r>
            <w:r>
              <w:rPr>
                <w:rFonts w:hint="default" w:ascii="Times New Roman" w:hAnsi="Times New Roman" w:cs="Times New Roman"/>
                <w:highlight w:val="none"/>
              </w:rPr>
              <w:t>.1.2.3环境空气影响预测结论</w:t>
            </w:r>
            <w:bookmarkEnd w:id="44"/>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废气中颗粒物满足《大气污染物综合排放标准》（GB16297-1996）表2中二级排放限值（颗粒物排放浓度&lt;120mg/m</w:t>
            </w:r>
            <w:r>
              <w:rPr>
                <w:rFonts w:hint="default" w:ascii="Times New Roman" w:hAnsi="Times New Roman" w:cs="Times New Roman"/>
                <w:color w:val="auto"/>
                <w:sz w:val="24"/>
                <w:highlight w:val="none"/>
                <w:u w:val="single"/>
                <w:vertAlign w:val="superscript"/>
              </w:rPr>
              <w:t>3</w:t>
            </w:r>
            <w:r>
              <w:rPr>
                <w:rFonts w:hint="default" w:ascii="Times New Roman" w:hAnsi="Times New Roman" w:cs="Times New Roman"/>
                <w:color w:val="auto"/>
                <w:sz w:val="24"/>
                <w:highlight w:val="none"/>
                <w:u w:val="single"/>
              </w:rPr>
              <w:t>，20m排气筒排放速率≤5.9kg/h）。对评价范围内的大气环境影响较小，不会改变评价范围内的大气环境功能。项目排放废气污染物的厂界外短期贡献值浓度不会超过环境质量浓度限值，厂区周边大气满足环境质量标准，不需设置大气环境防护距离。</w:t>
            </w:r>
          </w:p>
          <w:p>
            <w:pPr>
              <w:pStyle w:val="8"/>
              <w:rPr>
                <w:rFonts w:hint="default" w:ascii="Times New Roman" w:hAnsi="Times New Roman" w:cs="Times New Roman"/>
                <w:highlight w:val="none"/>
              </w:rPr>
            </w:pPr>
            <w:bookmarkStart w:id="45" w:name="_Toc12695"/>
            <w:r>
              <w:rPr>
                <w:rFonts w:hint="default" w:ascii="Times New Roman" w:hAnsi="Times New Roman" w:cs="Times New Roman"/>
                <w:highlight w:val="none"/>
                <w:lang w:val="en-US" w:eastAsia="zh-CN"/>
              </w:rPr>
              <w:t>4</w:t>
            </w:r>
            <w:r>
              <w:rPr>
                <w:rFonts w:hint="default" w:ascii="Times New Roman" w:hAnsi="Times New Roman" w:cs="Times New Roman"/>
                <w:highlight w:val="none"/>
              </w:rPr>
              <w:t>.1.2.4主要环保措施</w:t>
            </w:r>
            <w:bookmarkEnd w:id="45"/>
          </w:p>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（1）有组织废气治理</w:t>
            </w:r>
          </w:p>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本项目有组织废气主要为破碎、筛分、二次破碎过程产生的废气，废气中主要污染物为颗粒物，废气经各设备集气罩收集后，统一经1套脉冲布袋除尘器处理后，通过1根20m高排气筒排放（DA003）。</w:t>
            </w:r>
          </w:p>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（2）无组织废气治理</w:t>
            </w:r>
          </w:p>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扩建项目无组织废气主要为皮带输送粉尘、原料卸车及产品装车粉尘、生产过程中外溢的粉尘废气和堆场产生的无组织粉尘废气。</w:t>
            </w:r>
          </w:p>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①矿渣堆棚四周围挡，加盖防雨棚，地面均已硬化。堆场在矿渣堆棚内，堆场区域已进行防渗，四周设置围挡，经采取洒水抑尘及厂区通风等措施，减少无组织排放；②本项目采用密闭皮带输送机输送方式（进出料口均为密闭状态，产生粉尘均通过传送带密闭收集），有效降低投料、出料过程产生的粉尘；③原料卸车及产品装车过程采用喷嘴洒水抑尘降低粉尘量；在运输过程中需降低车速，减少颠簸，同时洒水抑尘，并用车载篷布遮盖，减少在运输过程中的无组织粉尘；④在生产过程中采用密闭等操作措施减少无组织排放，加强车间通风，洒水抑尘；⑤建设单位现有1辆洒水车，于上午、中午、下午洒水降尘。</w:t>
            </w:r>
          </w:p>
          <w:p>
            <w:pPr>
              <w:pStyle w:val="7"/>
              <w:rPr>
                <w:rFonts w:hint="default" w:ascii="Times New Roman" w:hAnsi="Times New Roman" w:cs="Times New Roman"/>
                <w:highlight w:val="none"/>
                <w:lang w:val="en-US" w:eastAsia="zh-CN"/>
              </w:rPr>
            </w:pPr>
            <w:bookmarkStart w:id="46" w:name="_Toc22028"/>
            <w:r>
              <w:rPr>
                <w:rFonts w:hint="default" w:ascii="Times New Roman" w:hAnsi="Times New Roman" w:cs="Times New Roman"/>
                <w:highlight w:val="none"/>
                <w:lang w:val="en-US" w:eastAsia="zh-CN"/>
              </w:rPr>
              <w:t>4.1.3声环境影响</w:t>
            </w:r>
            <w:bookmarkEnd w:id="46"/>
          </w:p>
          <w:p>
            <w:pPr>
              <w:pStyle w:val="8"/>
              <w:rPr>
                <w:rFonts w:hint="default" w:ascii="Times New Roman" w:hAnsi="Times New Roman" w:cs="Times New Roman"/>
                <w:highlight w:val="none"/>
              </w:rPr>
            </w:pPr>
            <w:bookmarkStart w:id="47" w:name="_Toc9188"/>
            <w:r>
              <w:rPr>
                <w:rFonts w:hint="default" w:ascii="Times New Roman" w:hAnsi="Times New Roman" w:cs="Times New Roman"/>
                <w:highlight w:val="none"/>
                <w:lang w:val="en-US" w:eastAsia="zh-CN"/>
              </w:rPr>
              <w:t>4</w:t>
            </w:r>
            <w:r>
              <w:rPr>
                <w:rFonts w:hint="default" w:ascii="Times New Roman" w:hAnsi="Times New Roman" w:cs="Times New Roman"/>
                <w:highlight w:val="none"/>
              </w:rPr>
              <w:t>.1.3.1声环境保护目标</w:t>
            </w:r>
            <w:bookmarkEnd w:id="47"/>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auto"/>
                <w:sz w:val="24"/>
                <w:highlight w:val="none"/>
                <w:u w:val="single"/>
                <w:lang w:val="en-US" w:eastAsia="zh-CN"/>
              </w:rPr>
            </w:pPr>
            <w:r>
              <w:rPr>
                <w:rFonts w:hint="eastAsia" w:ascii="Times New Roman" w:hAnsi="Times New Roman" w:cs="Times New Roman"/>
                <w:bCs/>
                <w:color w:val="auto"/>
                <w:sz w:val="24"/>
                <w:highlight w:val="none"/>
                <w:u w:val="single"/>
                <w:lang w:val="en-US" w:eastAsia="zh-CN"/>
              </w:rPr>
              <w:t>厂界外50米范围内无声环境保护目标</w:t>
            </w:r>
            <w:r>
              <w:rPr>
                <w:rFonts w:hint="eastAsia" w:cs="Times New Roman"/>
                <w:bCs/>
                <w:color w:val="auto"/>
                <w:sz w:val="24"/>
                <w:highlight w:val="none"/>
                <w:u w:val="single"/>
                <w:lang w:val="en-US" w:eastAsia="zh-CN"/>
              </w:rPr>
              <w:t>。</w:t>
            </w:r>
          </w:p>
          <w:p>
            <w:pPr>
              <w:pStyle w:val="8"/>
              <w:rPr>
                <w:rFonts w:hint="default" w:ascii="Times New Roman" w:hAnsi="Times New Roman" w:cs="Times New Roman"/>
                <w:highlight w:val="none"/>
              </w:rPr>
            </w:pPr>
            <w:bookmarkStart w:id="48" w:name="_Toc5410"/>
            <w:r>
              <w:rPr>
                <w:rFonts w:hint="default" w:ascii="Times New Roman" w:hAnsi="Times New Roman" w:cs="Times New Roman"/>
                <w:highlight w:val="none"/>
                <w:lang w:val="en-US" w:eastAsia="zh-CN"/>
              </w:rPr>
              <w:t>4</w:t>
            </w:r>
            <w:r>
              <w:rPr>
                <w:rFonts w:hint="default" w:ascii="Times New Roman" w:hAnsi="Times New Roman" w:cs="Times New Roman"/>
                <w:highlight w:val="none"/>
              </w:rPr>
              <w:t>.1.3.2声环境质量现状</w:t>
            </w:r>
            <w:bookmarkEnd w:id="48"/>
          </w:p>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u w:val="single"/>
                <w:lang w:val="en-US" w:eastAsia="zh-CN"/>
              </w:rPr>
            </w:pPr>
            <w:r>
              <w:rPr>
                <w:rFonts w:hint="eastAsia" w:ascii="Times New Roman" w:hAnsi="Times New Roman" w:cs="Times New Roman"/>
                <w:color w:val="auto"/>
                <w:sz w:val="24"/>
                <w:szCs w:val="24"/>
                <w:highlight w:val="none"/>
                <w:u w:val="single"/>
                <w:lang w:val="en-US" w:eastAsia="zh-CN"/>
              </w:rPr>
              <w:t>本项目位于福建省宁德市福安市湾坞镇上洋村福安市青拓环保建材有限公司厂区内，厂界声环境执行《声环境质量标准》（GB3096-2008）3类标准。项目用地红线外50m范围内无噪声敏感点分布，最近敏感目标上洋村距离厂界760m，根据《建设项目环境影响报告表编制技术指南（污染影响类）（试行）》，敏感目标超过50m可以不用噪声现状监测。</w:t>
            </w:r>
          </w:p>
          <w:p>
            <w:pPr>
              <w:pStyle w:val="8"/>
              <w:rPr>
                <w:rFonts w:hint="default" w:ascii="Times New Roman" w:hAnsi="Times New Roman" w:cs="Times New Roman"/>
                <w:highlight w:val="none"/>
              </w:rPr>
            </w:pPr>
            <w:bookmarkStart w:id="49" w:name="_Toc19395"/>
            <w:r>
              <w:rPr>
                <w:rFonts w:hint="default" w:ascii="Times New Roman" w:hAnsi="Times New Roman" w:cs="Times New Roman"/>
                <w:highlight w:val="none"/>
                <w:lang w:val="en-US" w:eastAsia="zh-CN"/>
              </w:rPr>
              <w:t>4</w:t>
            </w:r>
            <w:r>
              <w:rPr>
                <w:rFonts w:hint="default" w:ascii="Times New Roman" w:hAnsi="Times New Roman" w:cs="Times New Roman"/>
                <w:highlight w:val="none"/>
              </w:rPr>
              <w:t>.1.3.3声环境影响预测结论</w:t>
            </w:r>
            <w:bookmarkEnd w:id="4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u w:val="single"/>
                <w:lang w:val="en-US" w:eastAsia="zh-CN" w:bidi="ar-SA"/>
              </w:rPr>
            </w:pPr>
            <w:r>
              <w:rPr>
                <w:rFonts w:hint="default" w:ascii="Times New Roman" w:hAnsi="Times New Roman" w:eastAsia="宋体" w:cs="Times New Roman"/>
                <w:color w:val="auto"/>
                <w:kern w:val="2"/>
                <w:sz w:val="24"/>
                <w:szCs w:val="24"/>
                <w:highlight w:val="none"/>
                <w:u w:val="single"/>
                <w:lang w:val="en-US" w:eastAsia="zh-CN" w:bidi="ar-SA"/>
              </w:rPr>
              <w:t>本项目周边200m范围没有声敏感目标，项目建成后产生的噪声对厂界周边声环境影响较小，不会出现扰民问题。</w:t>
            </w:r>
          </w:p>
          <w:p>
            <w:pPr>
              <w:pStyle w:val="8"/>
              <w:rPr>
                <w:rFonts w:hint="default" w:ascii="Times New Roman" w:hAnsi="Times New Roman" w:cs="Times New Roman"/>
                <w:highlight w:val="none"/>
              </w:rPr>
            </w:pPr>
            <w:bookmarkStart w:id="50" w:name="_Toc30910"/>
            <w:r>
              <w:rPr>
                <w:rFonts w:hint="default" w:ascii="Times New Roman" w:hAnsi="Times New Roman" w:cs="Times New Roman"/>
                <w:highlight w:val="none"/>
                <w:lang w:val="en-US" w:eastAsia="zh-CN"/>
              </w:rPr>
              <w:t>4</w:t>
            </w:r>
            <w:r>
              <w:rPr>
                <w:rFonts w:hint="default" w:ascii="Times New Roman" w:hAnsi="Times New Roman" w:cs="Times New Roman"/>
                <w:highlight w:val="none"/>
              </w:rPr>
              <w:t>.1.3.4主要环保措施</w:t>
            </w:r>
            <w:bookmarkEnd w:id="50"/>
          </w:p>
          <w:p>
            <w:pPr>
              <w:pStyle w:val="15"/>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对设备基础减振处理，设备放置在车间内或房间内，通过基础减振、厂房隔声等措施来减少噪声对外界的影响</w:t>
            </w:r>
            <w:r>
              <w:rPr>
                <w:rFonts w:hint="eastAsia" w:cs="Times New Roman"/>
                <w:color w:val="auto"/>
                <w:sz w:val="24"/>
                <w:highlight w:val="none"/>
                <w:u w:val="single"/>
                <w:lang w:val="en-US" w:eastAsia="zh-CN"/>
              </w:rPr>
              <w:t>。</w:t>
            </w:r>
          </w:p>
          <w:p>
            <w:pPr>
              <w:pStyle w:val="7"/>
              <w:rPr>
                <w:rFonts w:hint="default" w:ascii="Times New Roman" w:hAnsi="Times New Roman" w:cs="Times New Roman"/>
                <w:highlight w:val="none"/>
                <w:lang w:val="en-US" w:eastAsia="zh-CN"/>
              </w:rPr>
            </w:pPr>
            <w:bookmarkStart w:id="51" w:name="_Toc28515"/>
            <w:r>
              <w:rPr>
                <w:rFonts w:hint="default" w:ascii="Times New Roman" w:hAnsi="Times New Roman" w:cs="Times New Roman"/>
                <w:highlight w:val="none"/>
                <w:lang w:val="en-US" w:eastAsia="zh-CN"/>
              </w:rPr>
              <w:t>4.1.4固体废物</w:t>
            </w:r>
            <w:bookmarkEnd w:id="51"/>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u w:val="single"/>
                <w:lang w:eastAsia="zh-CN"/>
              </w:rPr>
            </w:pPr>
            <w:bookmarkStart w:id="52" w:name="_Toc549"/>
            <w:r>
              <w:rPr>
                <w:rFonts w:hint="default" w:ascii="Times New Roman" w:hAnsi="Times New Roman" w:cs="Times New Roman"/>
                <w:color w:val="auto"/>
                <w:sz w:val="24"/>
                <w:highlight w:val="none"/>
                <w:u w:val="single"/>
                <w:lang w:eastAsia="zh-CN"/>
              </w:rPr>
              <w:t>（1）工业固废</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u w:val="single"/>
                <w:lang w:eastAsia="zh-CN"/>
              </w:rPr>
            </w:pPr>
            <w:r>
              <w:rPr>
                <w:rFonts w:hint="default" w:ascii="Times New Roman" w:hAnsi="Times New Roman" w:cs="Times New Roman"/>
                <w:color w:val="auto"/>
                <w:sz w:val="24"/>
                <w:highlight w:val="none"/>
                <w:u w:val="single"/>
                <w:lang w:eastAsia="zh-CN"/>
              </w:rPr>
              <w:t>扩建项目的固体废弃物分为一般固体废物和危险废物。一般固废包括除尘灰和生活垃圾等；危险废物包括产生的废机油等。</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u w:val="single"/>
                <w:lang w:eastAsia="zh-CN"/>
              </w:rPr>
            </w:pPr>
            <w:r>
              <w:rPr>
                <w:rFonts w:hint="default" w:ascii="Times New Roman" w:hAnsi="Times New Roman" w:cs="Times New Roman"/>
                <w:color w:val="auto"/>
                <w:sz w:val="24"/>
                <w:highlight w:val="none"/>
                <w:u w:val="single"/>
                <w:lang w:eastAsia="zh-CN"/>
              </w:rPr>
              <w:t>①一般固体废物</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u w:val="single"/>
                <w:lang w:eastAsia="zh-CN"/>
              </w:rPr>
            </w:pPr>
            <w:r>
              <w:rPr>
                <w:rFonts w:hint="default" w:ascii="Times New Roman" w:hAnsi="Times New Roman" w:cs="Times New Roman"/>
                <w:color w:val="auto"/>
                <w:sz w:val="24"/>
                <w:highlight w:val="none"/>
                <w:u w:val="single"/>
                <w:lang w:eastAsia="zh-CN"/>
              </w:rPr>
              <w:t>项目除尘器收集的粉尘回用于生产。</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u w:val="single"/>
                <w:lang w:eastAsia="zh-CN"/>
              </w:rPr>
            </w:pPr>
            <w:r>
              <w:rPr>
                <w:rFonts w:hint="default" w:ascii="Times New Roman" w:hAnsi="Times New Roman" w:cs="Times New Roman"/>
                <w:color w:val="auto"/>
                <w:sz w:val="24"/>
                <w:highlight w:val="none"/>
                <w:u w:val="single"/>
                <w:lang w:eastAsia="zh-CN"/>
              </w:rPr>
              <w:t>②危险废物</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u w:val="single"/>
                <w:lang w:eastAsia="zh-CN"/>
              </w:rPr>
            </w:pPr>
            <w:r>
              <w:rPr>
                <w:rFonts w:hint="default" w:ascii="Times New Roman" w:hAnsi="Times New Roman" w:cs="Times New Roman"/>
                <w:color w:val="auto"/>
                <w:sz w:val="24"/>
                <w:highlight w:val="none"/>
                <w:u w:val="single"/>
                <w:lang w:eastAsia="zh-CN"/>
              </w:rPr>
              <w:t>废机油：主要来自于生产设备维修过程产生的废机油，属于《国家危险废物名录》（2021年版）中HW08号：废矿物油与含矿物油废物，危废代码：900-249-08，委托有资质单位进行处理。</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u w:val="single"/>
                <w:lang w:eastAsia="zh-CN"/>
              </w:rPr>
            </w:pPr>
            <w:r>
              <w:rPr>
                <w:rFonts w:hint="default" w:ascii="Times New Roman" w:hAnsi="Times New Roman" w:cs="Times New Roman"/>
                <w:color w:val="auto"/>
                <w:sz w:val="24"/>
                <w:highlight w:val="none"/>
                <w:u w:val="single"/>
                <w:lang w:eastAsia="zh-CN"/>
              </w:rPr>
              <w:t>（2）生活垃圾</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u w:val="single"/>
                <w:lang w:eastAsia="zh-CN"/>
              </w:rPr>
            </w:pPr>
            <w:r>
              <w:rPr>
                <w:rFonts w:hint="default" w:ascii="Times New Roman" w:hAnsi="Times New Roman" w:cs="Times New Roman"/>
                <w:color w:val="auto"/>
                <w:sz w:val="24"/>
                <w:highlight w:val="none"/>
                <w:u w:val="single"/>
                <w:lang w:eastAsia="zh-CN"/>
              </w:rPr>
              <w:t>项目生产的劳动定员由福安市青拓环保建材有限公司厂区内部调配，本项目不新增加新的人员。生活垃圾收集处理依托福安市青拓环保建材有限公司厂区原有设施处理。生活垃圾由园区环卫部门清运和统一处置。</w:t>
            </w:r>
          </w:p>
          <w:p>
            <w:pPr>
              <w:pStyle w:val="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4.1.5总量控制结论</w:t>
            </w:r>
            <w:bookmarkEnd w:id="52"/>
          </w:p>
          <w:p>
            <w:pPr>
              <w:keepNext w:val="0"/>
              <w:keepLines w:val="0"/>
              <w:pageBreakBefore w:val="0"/>
              <w:widowControl w:val="0"/>
              <w:kinsoku/>
              <w:wordWrap/>
              <w:overflowPunct/>
              <w:topLinePunct w:val="0"/>
              <w:autoSpaceDE/>
              <w:autoSpaceDN/>
              <w:bidi w:val="0"/>
              <w:adjustRightInd w:val="0"/>
              <w:snapToGrid w:val="0"/>
              <w:spacing w:before="110" w:beforeLines="30" w:line="360" w:lineRule="auto"/>
              <w:ind w:firstLine="480" w:firstLineChars="200"/>
              <w:textAlignment w:val="auto"/>
              <w:rPr>
                <w:rFonts w:hint="eastAsia"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本项目无生产废水，废气主要污染为颗粒物，因此本项目完成后无新增NO</w:t>
            </w:r>
            <w:r>
              <w:rPr>
                <w:rFonts w:hint="eastAsia" w:cs="Times New Roman"/>
                <w:color w:val="auto"/>
                <w:sz w:val="24"/>
                <w:highlight w:val="none"/>
                <w:u w:val="single"/>
                <w:lang w:val="en-US" w:eastAsia="zh-CN"/>
              </w:rPr>
              <w:t>x</w:t>
            </w:r>
            <w:r>
              <w:rPr>
                <w:rFonts w:hint="eastAsia" w:ascii="Times New Roman" w:hAnsi="Times New Roman" w:cs="Times New Roman"/>
                <w:color w:val="auto"/>
                <w:sz w:val="24"/>
                <w:highlight w:val="none"/>
                <w:u w:val="single"/>
                <w:lang w:val="en-US" w:eastAsia="zh-CN"/>
              </w:rPr>
              <w:t>、SO</w:t>
            </w:r>
            <w:r>
              <w:rPr>
                <w:rFonts w:hint="eastAsia" w:ascii="Times New Roman" w:hAnsi="Times New Roman" w:cs="Times New Roman"/>
                <w:color w:val="auto"/>
                <w:sz w:val="24"/>
                <w:highlight w:val="none"/>
                <w:u w:val="single"/>
                <w:vertAlign w:val="subscript"/>
                <w:lang w:val="en-US" w:eastAsia="zh-CN"/>
              </w:rPr>
              <w:t>2</w:t>
            </w:r>
            <w:r>
              <w:rPr>
                <w:rFonts w:hint="eastAsia" w:ascii="Times New Roman" w:hAnsi="Times New Roman" w:cs="Times New Roman"/>
                <w:color w:val="auto"/>
                <w:sz w:val="24"/>
                <w:highlight w:val="none"/>
                <w:u w:val="single"/>
                <w:lang w:val="en-US" w:eastAsia="zh-CN"/>
              </w:rPr>
              <w:t>总量指标，无需购买总量指标。</w:t>
            </w:r>
          </w:p>
          <w:p>
            <w:pPr>
              <w:pStyle w:val="6"/>
              <w:keepNext/>
              <w:keepLines w:val="0"/>
              <w:pageBreakBefore w:val="0"/>
              <w:widowControl w:val="0"/>
              <w:kinsoku/>
              <w:wordWrap/>
              <w:overflowPunct/>
              <w:topLinePunct w:val="0"/>
              <w:autoSpaceDE/>
              <w:autoSpaceDN/>
              <w:bidi w:val="0"/>
              <w:adjustRightInd/>
              <w:snapToGrid w:val="0"/>
              <w:spacing w:before="160" w:beforeLines="50" w:after="160" w:afterLines="50" w:line="240" w:lineRule="auto"/>
              <w:textAlignment w:val="auto"/>
              <w:rPr>
                <w:rFonts w:hint="default" w:ascii="Times New Roman" w:hAnsi="Times New Roman" w:cs="Times New Roman"/>
                <w:highlight w:val="none"/>
                <w:lang w:val="en-US" w:eastAsia="zh-CN"/>
              </w:rPr>
            </w:pPr>
            <w:bookmarkStart w:id="53" w:name="_Toc388598216"/>
            <w:bookmarkStart w:id="54" w:name="_Toc22396"/>
            <w:bookmarkStart w:id="55" w:name="_Toc21355"/>
            <w:r>
              <w:rPr>
                <w:rFonts w:hint="default" w:ascii="Times New Roman" w:hAnsi="Times New Roman" w:cs="Times New Roman"/>
                <w:highlight w:val="none"/>
                <w:lang w:val="en-US" w:eastAsia="zh-CN"/>
              </w:rPr>
              <w:t>4.</w:t>
            </w:r>
            <w:bookmarkEnd w:id="53"/>
            <w:r>
              <w:rPr>
                <w:rFonts w:hint="default" w:ascii="Times New Roman" w:hAnsi="Times New Roman" w:cs="Times New Roman"/>
                <w:highlight w:val="none"/>
                <w:lang w:val="en-US" w:eastAsia="zh-CN"/>
              </w:rPr>
              <w:t>2审批部门审批决定</w:t>
            </w:r>
            <w:bookmarkEnd w:id="54"/>
            <w:bookmarkEnd w:id="5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u w:val="single"/>
                <w:lang w:val="en-US" w:eastAsia="zh-CN"/>
              </w:rPr>
              <w:t>《</w:t>
            </w:r>
            <w:r>
              <w:rPr>
                <w:rFonts w:hint="eastAsia" w:ascii="Times New Roman" w:hAnsi="Times New Roman" w:cs="Times New Roman"/>
                <w:sz w:val="24"/>
                <w:szCs w:val="24"/>
                <w:highlight w:val="none"/>
                <w:u w:val="single"/>
                <w:lang w:val="en-US" w:eastAsia="zh-CN"/>
              </w:rPr>
              <w:t>宁德</w:t>
            </w:r>
            <w:r>
              <w:rPr>
                <w:rFonts w:hint="default" w:ascii="Times New Roman" w:hAnsi="Times New Roman" w:cs="Times New Roman"/>
                <w:sz w:val="24"/>
                <w:szCs w:val="24"/>
                <w:highlight w:val="none"/>
                <w:u w:val="single"/>
                <w:lang w:val="en-US" w:eastAsia="zh-CN"/>
              </w:rPr>
              <w:t>市生态环境局关于</w:t>
            </w:r>
            <w:r>
              <w:rPr>
                <w:rFonts w:hint="eastAsia" w:ascii="Times New Roman" w:hAnsi="Times New Roman" w:cs="Times New Roman"/>
                <w:sz w:val="24"/>
                <w:szCs w:val="24"/>
                <w:highlight w:val="none"/>
                <w:u w:val="single"/>
                <w:lang w:val="en-US" w:eastAsia="zh-CN"/>
              </w:rPr>
              <w:t>福安市青拓环保建材有限公司钢渣综合利用技改项目</w:t>
            </w:r>
            <w:r>
              <w:rPr>
                <w:rFonts w:hint="default" w:ascii="Times New Roman" w:hAnsi="Times New Roman" w:cs="Times New Roman"/>
                <w:sz w:val="24"/>
                <w:szCs w:val="24"/>
                <w:highlight w:val="none"/>
                <w:u w:val="single"/>
                <w:lang w:val="en-US" w:eastAsia="zh-CN"/>
              </w:rPr>
              <w:t>环境影响报告表的批复》（宁安环评〔2023〕35号）表示</w:t>
            </w:r>
            <w:r>
              <w:rPr>
                <w:rFonts w:hint="eastAsia" w:ascii="Times New Roman" w:hAnsi="Times New Roman" w:cs="Times New Roman"/>
                <w:sz w:val="24"/>
                <w:szCs w:val="24"/>
                <w:highlight w:val="none"/>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u w:val="single"/>
                <w:lang w:val="en-US" w:eastAsia="zh-CN"/>
              </w:rPr>
              <w:t>一、项目建设符合国家产业政策，选址符合《福安经济开发区湾坞工贸园区总体发展规划</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2022-2035</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》及规划环评要求，符合宁德市</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三线一单</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生态环境分区管控的要求。在全面落实报告表提出的各项生态环境保护措施后，该项目可以满足生态环境保护相关法律法规和标准的要求。我局原则同意环境影响报告表的总体结论和拟采取的生态环境保护措施。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u w:val="single"/>
                <w:lang w:val="en-US" w:eastAsia="zh-CN"/>
              </w:rPr>
              <w:t>二、项目位于福安市湾坞镇上洋村福安市青拓环保建材有限公司厂区内。项目建设内容及规模为扩建一条钢渣综合利用生产线，生产路基垫层55万吨/年和钢渣细粉5万吨/年，扩建完成后全厂年处理360万吨工业废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u w:val="single"/>
                <w:lang w:val="en-US" w:eastAsia="zh-CN"/>
              </w:rPr>
              <w:t>三、你公司要严格落实报告表提出的各项环境保护对策措施，确保各项污染物稳定达标排放，固体废物妥善处置，环境风险得到有效防控，并重点做好以下工作：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一</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生活污水依托现有工程预处理设施处理后进入园区污水管网，纳入福安市湾坞西片区污水处理厂处理。初期雨水经收集后依托厂区现有初期雨水池，采用</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沉淀+过滤</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处理后进入园区污水管网，纳入福安市湾坞西片区污水处理厂处理。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二</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原料破碎、筛分工序产生的废气分别收集处理后经排气筒排放，排气筒数量、高度等应按《报告表》要求规范化建设。粉尘等无组织废气应采取厂房阻隔、喷淋等措施减少排放。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三</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选用低噪声设备，全厂高噪声设备应采取隔声、消声、减振等措施，确保厂界噪声达标排放。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四</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对固体废物进行分类收集和处置，项目产生的危险废 物应交由有相应资质的单位处置；危险废物的暂存和处置应符合 国家危险废物管理的相关规定，同时做好台账记录，明确产生数量和去向。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u w:val="single"/>
                <w:lang w:val="en-US" w:eastAsia="zh-CN"/>
              </w:rPr>
              <w:t>四、项目执行环境标准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一</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项目废水排放执行《污水综合排放标准》</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GB8978-1996</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表4中三级标准，其中氨氮指标执行《污水排入城镇下水道水质标准》</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GB/T31962-2015</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中B等级标准。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二</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项目废气中颗粒物排放执行《大气污染物综合排放标准》</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GB16297-1996</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表2中二级标准和无组织排放监控浓度限值。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三</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厂界噪声执行《工业企业厂界环境噪声排放标准》</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GB12348-2008</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中3类标准。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四</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一般工业固体废物的贮存处置执行《一般工业固体废 物贮存和填埋污染控制标准》</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GB18599-2020</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危险废物的贮存和转运执行《危险废物贮存污染控制标准》</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GB18597-2023</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u w:val="single"/>
                <w:lang w:val="en-US" w:eastAsia="zh-CN"/>
              </w:rPr>
              <w:t>五、你公司应在启动生产设施或在实际排污前依照《固定污染源排污许可分类管理名录</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2019年版</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》重新申领排污证，今后分类管理名录若发生变化按新规定执行。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u w:val="single"/>
                <w:lang w:val="en-US" w:eastAsia="zh-CN"/>
              </w:rPr>
              <w:t>六、你公司要按照有关规定设置规范的污染物排放口、贮存</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处置</w:t>
            </w:r>
            <w:r>
              <w:rPr>
                <w:rFonts w:hint="eastAsia"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场所，按照环境监测计划要求定期开展污染物跟踪监测。你公司要建立畅通的公众参与平台，依法依规公开企业环境信息，妥善解决公众担忧的环境问题，满足公众的合理环境诉求。</w:t>
            </w:r>
          </w:p>
          <w:p>
            <w:pPr>
              <w:pStyle w:val="6"/>
              <w:rPr>
                <w:rFonts w:hint="default" w:ascii="Times New Roman" w:hAnsi="Times New Roman" w:cs="Times New Roman"/>
                <w:highlight w:val="none"/>
              </w:rPr>
            </w:pPr>
          </w:p>
        </w:tc>
      </w:tr>
    </w:tbl>
    <w:p>
      <w:pPr>
        <w:rPr>
          <w:rFonts w:hint="default" w:ascii="Times New Roman" w:hAnsi="Times New Roman" w:cs="Times New Roman"/>
          <w:highlight w:val="none"/>
          <w:lang w:val="en-US" w:eastAsia="zh-CN"/>
        </w:rPr>
        <w:sectPr>
          <w:pgSz w:w="11906" w:h="16838"/>
          <w:pgMar w:top="1417" w:right="1417" w:bottom="1417" w:left="1417" w:header="851" w:footer="992" w:gutter="0"/>
          <w:pgNumType w:fmt="decimal"/>
          <w:cols w:space="720" w:num="1"/>
          <w:rtlGutter w:val="0"/>
          <w:docGrid w:type="lines" w:linePitch="318" w:charSpace="0"/>
        </w:sectPr>
      </w:pP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highlight w:val="none"/>
          <w:lang w:val="en-US" w:eastAsia="zh-CN"/>
        </w:rPr>
      </w:pPr>
      <w:r>
        <w:rPr>
          <w:rFonts w:hint="default" w:ascii="Times New Roman" w:hAnsi="Times New Roman" w:cs="宋体"/>
          <w:highlight w:val="none"/>
          <w:lang w:val="en-US" w:eastAsia="zh-CN"/>
        </w:rPr>
        <w:t>表4.</w:t>
      </w:r>
      <w:r>
        <w:rPr>
          <w:rFonts w:hint="eastAsia" w:ascii="Times New Roman" w:hAnsi="Times New Roman" w:cs="宋体"/>
          <w:highlight w:val="none"/>
          <w:lang w:val="en-US" w:eastAsia="zh-CN"/>
        </w:rPr>
        <w:t>1</w:t>
      </w:r>
      <w:r>
        <w:rPr>
          <w:rFonts w:hint="default" w:ascii="Times New Roman" w:hAnsi="Times New Roman" w:cs="宋体"/>
          <w:highlight w:val="none"/>
          <w:lang w:val="en-US" w:eastAsia="zh-CN"/>
        </w:rPr>
        <w:t>-1  环评要求的环保措施落实情况一览表</w:t>
      </w:r>
    </w:p>
    <w:tbl>
      <w:tblPr>
        <w:tblStyle w:val="29"/>
        <w:tblW w:w="5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2"/>
        <w:gridCol w:w="5240"/>
        <w:gridCol w:w="4240"/>
        <w:gridCol w:w="3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40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4"/>
                <w:kern w:val="0"/>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u w:val="none"/>
              </w:rPr>
              <w:t>措施类别</w:t>
            </w:r>
          </w:p>
        </w:tc>
        <w:tc>
          <w:tcPr>
            <w:tcW w:w="1855"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4"/>
                <w:kern w:val="0"/>
                <w:sz w:val="21"/>
                <w:szCs w:val="21"/>
                <w:highlight w:val="none"/>
                <w:vertAlign w:val="baseline"/>
                <w:lang w:eastAsia="zh-CN"/>
              </w:rPr>
            </w:pPr>
            <w:r>
              <w:rPr>
                <w:rFonts w:hint="default" w:ascii="Times New Roman" w:hAnsi="Times New Roman" w:eastAsia="宋体" w:cs="Times New Roman"/>
                <w:b/>
                <w:bCs w:val="0"/>
                <w:color w:val="auto"/>
                <w:spacing w:val="4"/>
                <w:kern w:val="0"/>
                <w:sz w:val="21"/>
                <w:szCs w:val="21"/>
                <w:highlight w:val="none"/>
                <w:vertAlign w:val="baseline"/>
                <w:lang w:eastAsia="zh-CN"/>
              </w:rPr>
              <w:t>环评治理措施</w:t>
            </w:r>
          </w:p>
        </w:tc>
        <w:tc>
          <w:tcPr>
            <w:tcW w:w="1501"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4"/>
                <w:kern w:val="0"/>
                <w:sz w:val="21"/>
                <w:szCs w:val="21"/>
                <w:highlight w:val="none"/>
                <w:vertAlign w:val="baseline"/>
                <w:lang w:eastAsia="zh-CN"/>
              </w:rPr>
            </w:pPr>
            <w:r>
              <w:rPr>
                <w:rFonts w:hint="default" w:ascii="Times New Roman" w:hAnsi="Times New Roman" w:eastAsia="宋体" w:cs="Times New Roman"/>
                <w:b/>
                <w:bCs w:val="0"/>
                <w:color w:val="auto"/>
                <w:spacing w:val="4"/>
                <w:kern w:val="0"/>
                <w:sz w:val="21"/>
                <w:szCs w:val="21"/>
                <w:highlight w:val="none"/>
                <w:vertAlign w:val="baseline"/>
                <w:lang w:eastAsia="zh-CN"/>
              </w:rPr>
              <w:t>实际落实情况</w:t>
            </w:r>
          </w:p>
        </w:tc>
        <w:tc>
          <w:tcPr>
            <w:tcW w:w="1241"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4"/>
                <w:kern w:val="0"/>
                <w:sz w:val="21"/>
                <w:szCs w:val="21"/>
                <w:highlight w:val="none"/>
                <w:vertAlign w:val="baseline"/>
                <w:lang w:eastAsia="zh-CN"/>
              </w:rPr>
            </w:pPr>
            <w:r>
              <w:rPr>
                <w:rFonts w:hint="default" w:ascii="Times New Roman" w:hAnsi="Times New Roman" w:cs="Times New Roman"/>
                <w:b/>
                <w:bCs w:val="0"/>
                <w:color w:val="auto"/>
                <w:spacing w:val="4"/>
                <w:kern w:val="0"/>
                <w:sz w:val="21"/>
                <w:szCs w:val="21"/>
                <w:highlight w:val="none"/>
                <w:vertAlign w:val="baseline"/>
                <w:lang w:eastAsia="zh-CN"/>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r>
              <w:rPr>
                <w:rFonts w:hint="default" w:ascii="Times New Roman" w:hAnsi="Times New Roman" w:cs="Times New Roman"/>
                <w:color w:val="auto"/>
                <w:spacing w:val="4"/>
                <w:kern w:val="0"/>
                <w:sz w:val="21"/>
                <w:szCs w:val="21"/>
                <w:highlight w:val="none"/>
                <w:vertAlign w:val="baseline"/>
                <w:lang w:eastAsia="zh-CN"/>
              </w:rPr>
              <w:t>废水</w:t>
            </w:r>
          </w:p>
        </w:tc>
        <w:tc>
          <w:tcPr>
            <w:tcW w:w="185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生活污水采用地埋式化粪池处理后排入湾坞西污水处理厂统一处理，化粪池设计处理规模29m</w:t>
            </w:r>
            <w:r>
              <w:rPr>
                <w:rFonts w:hint="default" w:ascii="Times New Roman" w:hAnsi="Times New Roman" w:cs="Times New Roman"/>
                <w:i w:val="0"/>
                <w:color w:val="auto"/>
                <w:kern w:val="0"/>
                <w:sz w:val="21"/>
                <w:szCs w:val="21"/>
                <w:highlight w:val="none"/>
                <w:u w:val="none"/>
                <w:vertAlign w:val="superscript"/>
                <w:lang w:val="en-US" w:eastAsia="zh-CN" w:bidi="ar"/>
              </w:rPr>
              <w:t>3</w:t>
            </w:r>
            <w:r>
              <w:rPr>
                <w:rFonts w:hint="default" w:ascii="Times New Roman" w:hAnsi="Times New Roman" w:cs="Times New Roman"/>
                <w:i w:val="0"/>
                <w:color w:val="auto"/>
                <w:kern w:val="0"/>
                <w:sz w:val="21"/>
                <w:szCs w:val="21"/>
                <w:highlight w:val="none"/>
                <w:u w:val="none"/>
                <w:lang w:val="en-US" w:eastAsia="zh-CN" w:bidi="ar"/>
              </w:rPr>
              <w:t>/d。</w:t>
            </w:r>
          </w:p>
        </w:tc>
        <w:tc>
          <w:tcPr>
            <w:tcW w:w="1501" w:type="pct"/>
            <w:noWrap w:val="0"/>
            <w:vAlign w:val="center"/>
          </w:tcPr>
          <w:p>
            <w:pPr>
              <w:pStyle w:val="43"/>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与环评一致</w:t>
            </w:r>
          </w:p>
        </w:tc>
        <w:tc>
          <w:tcPr>
            <w:tcW w:w="124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4"/>
                <w:kern w:val="0"/>
                <w:sz w:val="21"/>
                <w:szCs w:val="21"/>
                <w:highlight w:val="none"/>
                <w:vertAlign w:val="baseline"/>
                <w:lang w:eastAsia="zh-CN"/>
              </w:rPr>
            </w:pPr>
          </w:p>
        </w:tc>
        <w:tc>
          <w:tcPr>
            <w:tcW w:w="185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Cs w:val="21"/>
                <w:highlight w:val="none"/>
              </w:rPr>
            </w:pPr>
            <w:r>
              <w:rPr>
                <w:rFonts w:hint="default" w:ascii="Times New Roman" w:hAnsi="Times New Roman" w:cs="Times New Roman"/>
                <w:i w:val="0"/>
                <w:color w:val="auto"/>
                <w:kern w:val="0"/>
                <w:sz w:val="21"/>
                <w:szCs w:val="21"/>
                <w:highlight w:val="none"/>
                <w:u w:val="none"/>
                <w:lang w:val="en-US" w:eastAsia="zh-CN" w:bidi="ar"/>
              </w:rPr>
              <w:t>初期雨污水采用</w:t>
            </w:r>
            <w:r>
              <w:rPr>
                <w:rFonts w:hint="eastAsia"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沉淀+过滤</w:t>
            </w:r>
            <w:r>
              <w:rPr>
                <w:rFonts w:hint="eastAsia"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处理后排入湾坞西污水处理厂统一处理。已建设一座初期雨水池容积为480m</w:t>
            </w:r>
            <w:r>
              <w:rPr>
                <w:rFonts w:hint="default" w:ascii="Times New Roman" w:hAnsi="Times New Roman" w:cs="Times New Roman"/>
                <w:i w:val="0"/>
                <w:color w:val="auto"/>
                <w:kern w:val="0"/>
                <w:sz w:val="21"/>
                <w:szCs w:val="21"/>
                <w:highlight w:val="none"/>
                <w:u w:val="none"/>
                <w:vertAlign w:val="superscript"/>
                <w:lang w:val="en-US" w:eastAsia="zh-CN" w:bidi="ar"/>
              </w:rPr>
              <w:t>3</w:t>
            </w:r>
            <w:r>
              <w:rPr>
                <w:rFonts w:hint="default" w:ascii="Times New Roman" w:hAnsi="Times New Roman" w:cs="Times New Roman"/>
                <w:i w:val="0"/>
                <w:color w:val="auto"/>
                <w:kern w:val="0"/>
                <w:sz w:val="21"/>
                <w:szCs w:val="21"/>
                <w:highlight w:val="none"/>
                <w:u w:val="none"/>
                <w:lang w:val="en-US" w:eastAsia="zh-CN" w:bidi="ar"/>
              </w:rPr>
              <w:t>。</w:t>
            </w:r>
          </w:p>
        </w:tc>
        <w:tc>
          <w:tcPr>
            <w:tcW w:w="1501" w:type="pct"/>
            <w:noWrap w:val="0"/>
            <w:vAlign w:val="center"/>
          </w:tcPr>
          <w:p>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color w:val="auto"/>
                <w:sz w:val="21"/>
                <w:szCs w:val="21"/>
                <w:highlight w:val="none"/>
                <w:lang w:val="en-US" w:eastAsia="zh-CN"/>
              </w:rPr>
              <w:t>与环评一致</w:t>
            </w:r>
          </w:p>
        </w:tc>
        <w:tc>
          <w:tcPr>
            <w:tcW w:w="124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r>
              <w:rPr>
                <w:rFonts w:hint="default" w:ascii="Times New Roman" w:hAnsi="Times New Roman" w:eastAsia="宋体" w:cs="Times New Roman"/>
                <w:color w:val="auto"/>
                <w:spacing w:val="4"/>
                <w:kern w:val="0"/>
                <w:sz w:val="21"/>
                <w:szCs w:val="21"/>
                <w:highlight w:val="none"/>
                <w:vertAlign w:val="baseline"/>
                <w:lang w:eastAsia="zh-CN"/>
              </w:rPr>
              <w:t>废气</w:t>
            </w:r>
          </w:p>
        </w:tc>
        <w:tc>
          <w:tcPr>
            <w:tcW w:w="1855" w:type="pct"/>
            <w:noWrap w:val="0"/>
            <w:vAlign w:val="center"/>
          </w:tcPr>
          <w:p>
            <w:pPr>
              <w:pStyle w:val="53"/>
              <w:keepNext w:val="0"/>
              <w:keepLines w:val="0"/>
              <w:pageBreakBefore w:val="0"/>
              <w:widowControl/>
              <w:numPr>
                <w:ilvl w:val="0"/>
                <w:numId w:val="0"/>
              </w:numPr>
              <w:kinsoku/>
              <w:wordWrap/>
              <w:overflowPunct/>
              <w:topLinePunct w:val="0"/>
              <w:autoSpaceDE/>
              <w:autoSpaceDN/>
              <w:bidi w:val="0"/>
              <w:adjustRightInd w:val="0"/>
              <w:snapToGrid/>
              <w:spacing w:line="240" w:lineRule="auto"/>
              <w:ind w:left="0" w:leftChars="0" w:firstLine="0" w:firstLineChars="0"/>
              <w:jc w:val="both"/>
              <w:textAlignment w:val="auto"/>
              <w:rPr>
                <w:rFonts w:hint="default" w:ascii="Times New Roman" w:hAnsi="Times New Roman" w:eastAsia="宋体" w:cs="Times New Roman"/>
                <w:color w:val="auto"/>
                <w:spacing w:val="4"/>
                <w:kern w:val="0"/>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有组织废气为破碎、筛分、二次破碎生产过程产生的废气，经各设备集气罩收集后，经布袋除尘处理，由一根20米高排气筒排放。</w:t>
            </w:r>
          </w:p>
        </w:tc>
        <w:tc>
          <w:tcPr>
            <w:tcW w:w="150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（1）因处理原料含水率的变化，</w:t>
            </w:r>
            <w:r>
              <w:rPr>
                <w:rFonts w:hint="default" w:ascii="Times New Roman" w:hAnsi="Times New Roman" w:eastAsia="宋体" w:cs="Times New Roman"/>
                <w:i w:val="0"/>
                <w:color w:val="auto"/>
                <w:kern w:val="0"/>
                <w:sz w:val="21"/>
                <w:szCs w:val="21"/>
                <w:highlight w:val="none"/>
                <w:u w:val="none"/>
                <w:lang w:val="en-US" w:eastAsia="zh-CN" w:bidi="ar"/>
              </w:rPr>
              <w:t>一次破碎和筛分</w:t>
            </w:r>
            <w:r>
              <w:rPr>
                <w:rFonts w:hint="eastAsia" w:ascii="Times New Roman" w:hAnsi="Times New Roman" w:eastAsia="宋体" w:cs="Times New Roman"/>
                <w:i w:val="0"/>
                <w:color w:val="auto"/>
                <w:kern w:val="0"/>
                <w:sz w:val="21"/>
                <w:szCs w:val="21"/>
                <w:highlight w:val="none"/>
                <w:u w:val="none"/>
                <w:lang w:val="en-US" w:eastAsia="zh-CN" w:bidi="ar"/>
              </w:rPr>
              <w:t>产生粉尘含水率较高，易粘结并堵塞布袋除尘器，故</w:t>
            </w:r>
            <w:r>
              <w:rPr>
                <w:rFonts w:hint="default" w:ascii="Times New Roman" w:hAnsi="Times New Roman" w:eastAsia="宋体" w:cs="Times New Roman"/>
                <w:i w:val="0"/>
                <w:color w:val="auto"/>
                <w:kern w:val="0"/>
                <w:sz w:val="21"/>
                <w:szCs w:val="21"/>
                <w:highlight w:val="none"/>
                <w:u w:val="none"/>
                <w:lang w:val="en-US" w:eastAsia="zh-CN" w:bidi="ar"/>
              </w:rPr>
              <w:t>一次破碎和筛分生产过程产生的废气由</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集气罩+布袋除尘+20m排气筒</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变为</w:t>
            </w:r>
            <w:r>
              <w:rPr>
                <w:rFonts w:hint="eastAsia" w:ascii="Times New Roman" w:hAnsi="Times New Roman" w:cs="Times New Roman"/>
                <w:i w:val="0"/>
                <w:color w:val="auto"/>
                <w:kern w:val="0"/>
                <w:sz w:val="21"/>
                <w:szCs w:val="21"/>
                <w:highlight w:val="none"/>
                <w:u w:val="none"/>
                <w:lang w:val="en-US" w:eastAsia="zh-CN" w:bidi="ar"/>
              </w:rPr>
              <w:t>“雾炮抑尘</w:t>
            </w:r>
            <w:r>
              <w:rPr>
                <w:rFonts w:hint="default" w:ascii="Times New Roman" w:hAnsi="Times New Roman" w:eastAsia="宋体" w:cs="Times New Roman"/>
                <w:i w:val="0"/>
                <w:color w:val="auto"/>
                <w:kern w:val="0"/>
                <w:sz w:val="21"/>
                <w:szCs w:val="21"/>
                <w:highlight w:val="none"/>
                <w:u w:val="none"/>
                <w:lang w:val="en-US" w:eastAsia="zh-CN" w:bidi="ar"/>
              </w:rPr>
              <w:t>设施</w:t>
            </w:r>
            <w:r>
              <w:rPr>
                <w:rFonts w:hint="eastAsia"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处理</w:t>
            </w:r>
            <w:r>
              <w:rPr>
                <w:rFonts w:hint="eastAsia" w:ascii="Times New Roman" w:hAnsi="Times New Roman" w:cs="Times New Roman"/>
                <w:i w:val="0"/>
                <w:color w:val="auto"/>
                <w:kern w:val="0"/>
                <w:sz w:val="21"/>
                <w:szCs w:val="21"/>
                <w:highlight w:val="none"/>
                <w:u w:val="none"/>
                <w:lang w:val="en-US" w:eastAsia="zh-CN" w:bidi="ar"/>
              </w:rPr>
              <w:t>（射程分别为60m和80m）</w:t>
            </w:r>
            <w:r>
              <w:rPr>
                <w:rFonts w:hint="default" w:ascii="Times New Roman" w:hAnsi="Times New Roman" w:eastAsia="宋体" w:cs="Times New Roman"/>
                <w:i w:val="0"/>
                <w:color w:val="auto"/>
                <w:kern w:val="0"/>
                <w:sz w:val="21"/>
                <w:szCs w:val="21"/>
                <w:highlight w:val="none"/>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pacing w:val="4"/>
                <w:kern w:val="0"/>
                <w:sz w:val="21"/>
                <w:szCs w:val="21"/>
                <w:highlight w:val="none"/>
                <w:vertAlign w:val="baseline"/>
                <w:lang w:eastAsia="zh-CN"/>
              </w:rPr>
            </w:pPr>
            <w:r>
              <w:rPr>
                <w:rFonts w:hint="eastAsia" w:ascii="Times New Roman" w:hAnsi="Times New Roman" w:eastAsia="宋体"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二次破碎生产过程产生的废气，</w:t>
            </w:r>
            <w:r>
              <w:rPr>
                <w:rFonts w:hint="eastAsia" w:cs="Times New Roman"/>
                <w:i w:val="0"/>
                <w:color w:val="auto"/>
                <w:kern w:val="0"/>
                <w:sz w:val="21"/>
                <w:szCs w:val="21"/>
                <w:highlight w:val="none"/>
                <w:u w:val="none"/>
                <w:lang w:val="en-US" w:eastAsia="zh-CN" w:bidi="ar"/>
              </w:rPr>
              <w:t>二次破碎机密闭负压运行，粉尘负压</w:t>
            </w:r>
            <w:r>
              <w:rPr>
                <w:rFonts w:hint="default" w:ascii="Times New Roman" w:hAnsi="Times New Roman" w:eastAsia="宋体" w:cs="Times New Roman"/>
                <w:i w:val="0"/>
                <w:color w:val="auto"/>
                <w:kern w:val="0"/>
                <w:sz w:val="21"/>
                <w:szCs w:val="21"/>
                <w:highlight w:val="none"/>
                <w:u w:val="none"/>
                <w:lang w:val="en-US" w:eastAsia="zh-CN" w:bidi="ar"/>
              </w:rPr>
              <w:t>收集后，采用布袋除尘处理，由一根20米高排气筒排放</w:t>
            </w:r>
          </w:p>
        </w:tc>
        <w:tc>
          <w:tcPr>
            <w:tcW w:w="124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pacing w:val="4"/>
                <w:kern w:val="0"/>
                <w:sz w:val="21"/>
                <w:szCs w:val="21"/>
                <w:highlight w:val="none"/>
                <w:vertAlign w:val="baseline"/>
                <w:lang w:eastAsia="zh-CN"/>
              </w:rPr>
            </w:pPr>
            <w:r>
              <w:rPr>
                <w:rFonts w:hint="default" w:ascii="Times New Roman" w:hAnsi="Times New Roman" w:cs="Times New Roman"/>
                <w:color w:val="auto"/>
                <w:sz w:val="21"/>
                <w:szCs w:val="21"/>
                <w:highlight w:val="none"/>
                <w:lang w:val="en-US" w:eastAsia="zh-CN"/>
              </w:rPr>
              <w:t>已落实</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i w:val="0"/>
                <w:color w:val="auto"/>
                <w:kern w:val="0"/>
                <w:sz w:val="21"/>
                <w:szCs w:val="21"/>
                <w:highlight w:val="none"/>
                <w:u w:val="none"/>
                <w:lang w:val="en-US" w:eastAsia="zh-CN" w:bidi="ar"/>
              </w:rPr>
              <w:t>一次破碎和筛分废气由有组织排放变为无组织排放</w:t>
            </w:r>
            <w:r>
              <w:rPr>
                <w:rFonts w:hint="eastAsia" w:ascii="Times New Roman" w:hAnsi="Times New Roman" w:cs="Times New Roman"/>
                <w:i w:val="0"/>
                <w:color w:val="auto"/>
                <w:kern w:val="0"/>
                <w:sz w:val="21"/>
                <w:szCs w:val="21"/>
                <w:highlight w:val="none"/>
                <w:u w:val="none"/>
                <w:lang w:val="en-US" w:eastAsia="zh-CN" w:bidi="ar"/>
              </w:rPr>
              <w:t>，经《项目变动环境影响补充说明》核算及专家评审，项目无组织粉尘排放量增加0.1t/a（环评时项目无组织粉尘排放量1.66t/a），变动导致项目无组织排放量增加6%，低于10%，不属于重大变动</w:t>
            </w:r>
            <w:r>
              <w:rPr>
                <w:rFonts w:hint="eastAsia"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p>
        </w:tc>
        <w:tc>
          <w:tcPr>
            <w:tcW w:w="185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皮带输送粉尘：采用密闭皮带输送机输送方式，皮带输送过程采用喷雾抑尘；</w:t>
            </w:r>
          </w:p>
        </w:tc>
        <w:tc>
          <w:tcPr>
            <w:tcW w:w="150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c>
          <w:tcPr>
            <w:tcW w:w="124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p>
        </w:tc>
        <w:tc>
          <w:tcPr>
            <w:tcW w:w="185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原料卸车及产品装车粉尘：在装卸车过程采用喷雾抑尘；运输过程使用车载篷布遮盖；</w:t>
            </w:r>
          </w:p>
        </w:tc>
        <w:tc>
          <w:tcPr>
            <w:tcW w:w="150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ascii="Times New Roman" w:hAnsi="Times New Roman" w:cs="Times New Roman"/>
                <w:color w:val="auto"/>
                <w:kern w:val="0"/>
                <w:sz w:val="21"/>
                <w:szCs w:val="21"/>
                <w:highlight w:val="none"/>
                <w:u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24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ascii="Times New Roman" w:hAnsi="Times New Roman" w:cs="Times New Roman"/>
                <w:color w:val="0F31FF"/>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p>
        </w:tc>
        <w:tc>
          <w:tcPr>
            <w:tcW w:w="185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生产过程无组织粉尘：</w:t>
            </w:r>
            <w:r>
              <w:rPr>
                <w:rFonts w:hint="eastAsia" w:cs="Times New Roman"/>
                <w:i w:val="0"/>
                <w:color w:val="auto"/>
                <w:kern w:val="0"/>
                <w:sz w:val="21"/>
                <w:szCs w:val="21"/>
                <w:highlight w:val="none"/>
                <w:u w:val="none"/>
                <w:lang w:val="en-US" w:eastAsia="zh-CN" w:bidi="ar"/>
              </w:rPr>
              <w:t>车间封闭，</w:t>
            </w:r>
            <w:r>
              <w:rPr>
                <w:rFonts w:hint="default" w:ascii="Times New Roman" w:hAnsi="Times New Roman" w:cs="Times New Roman"/>
                <w:i w:val="0"/>
                <w:color w:val="auto"/>
                <w:kern w:val="0"/>
                <w:sz w:val="21"/>
                <w:szCs w:val="21"/>
                <w:highlight w:val="none"/>
                <w:u w:val="none"/>
                <w:lang w:val="en-US" w:eastAsia="zh-CN" w:bidi="ar"/>
              </w:rPr>
              <w:t>喷雾抑尘；</w:t>
            </w:r>
          </w:p>
        </w:tc>
        <w:tc>
          <w:tcPr>
            <w:tcW w:w="150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ascii="Times New Roman" w:hAnsi="Times New Roman" w:cs="Times New Roman"/>
                <w:color w:val="auto"/>
                <w:kern w:val="0"/>
                <w:sz w:val="21"/>
                <w:szCs w:val="21"/>
                <w:highlight w:val="none"/>
                <w:u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24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ascii="Times New Roman" w:hAnsi="Times New Roman" w:cs="Times New Roman"/>
                <w:color w:val="0F31FF"/>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p>
        </w:tc>
        <w:tc>
          <w:tcPr>
            <w:tcW w:w="1855" w:type="pct"/>
            <w:noWrap w:val="0"/>
            <w:vAlign w:val="center"/>
          </w:tcPr>
          <w:p>
            <w:pPr>
              <w:pStyle w:val="16"/>
              <w:keepNext w:val="0"/>
              <w:keepLines w:val="0"/>
              <w:pageBreakBefore w:val="0"/>
              <w:widowControl w:val="0"/>
              <w:kinsoku/>
              <w:wordWrap/>
              <w:overflowPunct/>
              <w:topLinePunct w:val="0"/>
              <w:autoSpaceDE/>
              <w:autoSpaceDN/>
              <w:bidi w:val="0"/>
              <w:adjustRightInd w:val="0"/>
              <w:snapToGrid/>
              <w:spacing w:before="0" w:beforeAutospacing="0" w:after="0" w:line="240" w:lineRule="auto"/>
              <w:ind w:left="0" w:leftChars="0" w:right="0" w:rightChars="0" w:firstLine="0" w:firstLineChars="0"/>
              <w:jc w:val="both"/>
              <w:textAlignment w:val="auto"/>
              <w:outlineLvl w:val="9"/>
              <w:rPr>
                <w:rFonts w:hint="eastAsia" w:ascii="Times New Roman" w:hAnsi="Times New Roman" w:cs="Times New Roman"/>
                <w:color w:val="auto"/>
                <w:kern w:val="0"/>
                <w:sz w:val="21"/>
                <w:szCs w:val="21"/>
                <w:highlight w:val="none"/>
                <w:u w:val="none"/>
                <w:lang w:val="en-US" w:eastAsia="zh-CN"/>
              </w:rPr>
            </w:pPr>
            <w:r>
              <w:rPr>
                <w:rFonts w:hint="default" w:ascii="Times New Roman" w:hAnsi="Times New Roman" w:cs="Times New Roman"/>
                <w:i w:val="0"/>
                <w:color w:val="auto"/>
                <w:kern w:val="0"/>
                <w:sz w:val="21"/>
                <w:szCs w:val="21"/>
                <w:highlight w:val="none"/>
                <w:u w:val="none"/>
                <w:lang w:val="en-US" w:eastAsia="zh-CN" w:bidi="ar"/>
              </w:rPr>
              <w:t>堆场粉尘：区域四周设置围挡，采取喷雾抑尘。</w:t>
            </w:r>
          </w:p>
        </w:tc>
        <w:tc>
          <w:tcPr>
            <w:tcW w:w="150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ascii="Times New Roman" w:hAnsi="Times New Roman" w:cs="Times New Roman"/>
                <w:color w:val="auto"/>
                <w:kern w:val="0"/>
                <w:sz w:val="21"/>
                <w:szCs w:val="21"/>
                <w:highlight w:val="none"/>
                <w:u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24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ascii="Times New Roman" w:hAnsi="Times New Roman" w:cs="Times New Roman"/>
                <w:color w:val="0F31FF"/>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r>
              <w:rPr>
                <w:rFonts w:hint="default" w:ascii="Times New Roman" w:hAnsi="Times New Roman" w:eastAsia="宋体" w:cs="Times New Roman"/>
                <w:color w:val="auto"/>
                <w:spacing w:val="4"/>
                <w:kern w:val="0"/>
                <w:sz w:val="21"/>
                <w:szCs w:val="21"/>
                <w:highlight w:val="none"/>
                <w:vertAlign w:val="baseline"/>
                <w:lang w:eastAsia="zh-CN"/>
              </w:rPr>
              <w:t>噪声</w:t>
            </w:r>
          </w:p>
        </w:tc>
        <w:tc>
          <w:tcPr>
            <w:tcW w:w="1855" w:type="pct"/>
            <w:noWrap w:val="0"/>
            <w:vAlign w:val="center"/>
          </w:tcPr>
          <w:p>
            <w:pPr>
              <w:pStyle w:val="43"/>
              <w:keepNext w:val="0"/>
              <w:keepLines w:val="0"/>
              <w:pageBreakBefore w:val="0"/>
              <w:widowControl w:val="0"/>
              <w:kinsoku/>
              <w:wordWrap/>
              <w:overflowPunct/>
              <w:topLinePunct w:val="0"/>
              <w:bidi w:val="0"/>
              <w:snapToGrid w:val="0"/>
              <w:spacing w:line="240" w:lineRule="auto"/>
              <w:jc w:val="both"/>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pacing w:val="0"/>
                <w:sz w:val="21"/>
                <w:szCs w:val="21"/>
                <w:highlight w:val="none"/>
                <w:lang w:val="en-US" w:eastAsia="zh-CN"/>
              </w:rPr>
              <w:t>基础减振，厂房隔声</w:t>
            </w:r>
            <w:r>
              <w:rPr>
                <w:rFonts w:hint="default" w:ascii="Times New Roman" w:hAnsi="Times New Roman" w:cs="Times New Roman"/>
                <w:color w:val="auto"/>
                <w:spacing w:val="0"/>
                <w:sz w:val="21"/>
                <w:szCs w:val="21"/>
                <w:highlight w:val="none"/>
              </w:rPr>
              <w:t>。</w:t>
            </w:r>
          </w:p>
        </w:tc>
        <w:tc>
          <w:tcPr>
            <w:tcW w:w="150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124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r>
              <w:rPr>
                <w:rFonts w:hint="default" w:ascii="Times New Roman" w:hAnsi="Times New Roman" w:eastAsia="宋体" w:cs="Times New Roman"/>
                <w:color w:val="auto"/>
                <w:spacing w:val="4"/>
                <w:kern w:val="0"/>
                <w:sz w:val="21"/>
                <w:szCs w:val="21"/>
                <w:highlight w:val="none"/>
                <w:vertAlign w:val="baseline"/>
                <w:lang w:eastAsia="zh-CN"/>
              </w:rPr>
              <w:t>固废</w:t>
            </w:r>
          </w:p>
        </w:tc>
        <w:tc>
          <w:tcPr>
            <w:tcW w:w="185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除尘灰作为一般固废</w:t>
            </w:r>
            <w:r>
              <w:rPr>
                <w:rFonts w:hint="default" w:ascii="Times New Roman" w:hAnsi="Times New Roman" w:cs="Times New Roman"/>
                <w:i w:val="0"/>
                <w:color w:val="auto"/>
                <w:kern w:val="0"/>
                <w:sz w:val="21"/>
                <w:szCs w:val="21"/>
                <w:highlight w:val="none"/>
                <w:u w:val="none"/>
                <w:lang w:val="en-US" w:eastAsia="zh-CN" w:bidi="ar"/>
              </w:rPr>
              <w:t>，回用于公司矿渣微粉生产线</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150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c>
          <w:tcPr>
            <w:tcW w:w="1241" w:type="pct"/>
            <w:noWrap w:val="0"/>
            <w:vAlign w:val="center"/>
          </w:tcPr>
          <w:p>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p>
        </w:tc>
        <w:tc>
          <w:tcPr>
            <w:tcW w:w="185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原废机油产生量为0.5t/a，暂存公司危险废物暂存间，占地面积24m</w:t>
            </w:r>
            <w:r>
              <w:rPr>
                <w:rFonts w:hint="default" w:ascii="Times New Roman" w:hAnsi="Times New Roman" w:cs="Times New Roman"/>
                <w:i w:val="0"/>
                <w:color w:val="auto"/>
                <w:kern w:val="0"/>
                <w:sz w:val="21"/>
                <w:szCs w:val="21"/>
                <w:highlight w:val="none"/>
                <w:u w:val="none"/>
                <w:vertAlign w:val="superscript"/>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。本项目废机油产生量为0.5t/a，暂存于公司原有危险废物暂存间，统一委托有资质单位处置。</w:t>
            </w:r>
          </w:p>
        </w:tc>
        <w:tc>
          <w:tcPr>
            <w:tcW w:w="150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与环评一致。</w:t>
            </w:r>
          </w:p>
        </w:tc>
        <w:tc>
          <w:tcPr>
            <w:tcW w:w="1241" w:type="pct"/>
            <w:noWrap w:val="0"/>
            <w:vAlign w:val="center"/>
          </w:tcPr>
          <w:p>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color w:val="150FFF"/>
                <w:sz w:val="21"/>
                <w:szCs w:val="21"/>
                <w:highlight w:val="none"/>
                <w:lang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eastAsia="zh-CN"/>
              </w:rPr>
            </w:pPr>
          </w:p>
        </w:tc>
        <w:tc>
          <w:tcPr>
            <w:tcW w:w="1855"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i w:val="0"/>
                <w:color w:val="auto"/>
                <w:kern w:val="0"/>
                <w:sz w:val="21"/>
                <w:szCs w:val="21"/>
                <w:highlight w:val="none"/>
                <w:u w:val="none"/>
                <w:lang w:val="en-US" w:eastAsia="zh-CN" w:bidi="ar"/>
              </w:rPr>
              <w:t>生活垃圾经环卫部门统一收集处理。</w:t>
            </w:r>
          </w:p>
        </w:tc>
        <w:tc>
          <w:tcPr>
            <w:tcW w:w="150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与环评一致。</w:t>
            </w:r>
          </w:p>
        </w:tc>
        <w:tc>
          <w:tcPr>
            <w:tcW w:w="1241" w:type="pct"/>
            <w:noWrap w:val="0"/>
            <w:vAlign w:val="center"/>
          </w:tcPr>
          <w:p>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pacing w:val="4"/>
                <w:kern w:val="0"/>
                <w:sz w:val="21"/>
                <w:szCs w:val="21"/>
                <w:highlight w:val="none"/>
                <w:vertAlign w:val="baseline"/>
                <w:lang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01"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kern w:val="0"/>
                <w:sz w:val="21"/>
                <w:szCs w:val="21"/>
                <w:highlight w:val="none"/>
                <w:vertAlign w:val="baseline"/>
                <w:lang w:val="en-US" w:eastAsia="zh-CN"/>
              </w:rPr>
            </w:pPr>
            <w:r>
              <w:rPr>
                <w:rFonts w:hint="eastAsia" w:ascii="Times New Roman" w:hAnsi="Times New Roman" w:eastAsia="宋体" w:cs="Times New Roman"/>
                <w:color w:val="auto"/>
                <w:spacing w:val="4"/>
                <w:kern w:val="0"/>
                <w:sz w:val="21"/>
                <w:szCs w:val="21"/>
                <w:highlight w:val="none"/>
                <w:vertAlign w:val="baseline"/>
                <w:lang w:val="en-US" w:eastAsia="zh-CN"/>
              </w:rPr>
              <w:t>环境风险</w:t>
            </w:r>
          </w:p>
        </w:tc>
        <w:tc>
          <w:tcPr>
            <w:tcW w:w="1855"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left="0" w:leftChars="0" w:right="0" w:rightChars="0" w:firstLine="0" w:firstLineChars="0"/>
              <w:jc w:val="both"/>
              <w:textAlignment w:val="auto"/>
              <w:outlineLvl w:val="9"/>
              <w:rPr>
                <w:rFonts w:hint="eastAsia" w:ascii="Times New Roman" w:hAnsi="Times New Roman"/>
                <w:color w:val="auto"/>
                <w:kern w:val="0"/>
                <w:sz w:val="21"/>
                <w:szCs w:val="21"/>
                <w:highlight w:val="none"/>
                <w:lang w:val="en-US" w:eastAsia="zh-CN"/>
              </w:rPr>
            </w:pPr>
            <w:r>
              <w:rPr>
                <w:rFonts w:hint="eastAsia" w:ascii="Times New Roman" w:hAnsi="Times New Roman" w:cs="Times New Roman"/>
                <w:color w:val="auto"/>
                <w:sz w:val="21"/>
                <w:szCs w:val="21"/>
                <w:highlight w:val="none"/>
                <w:lang w:val="en-US" w:eastAsia="zh-CN"/>
              </w:rPr>
              <w:t>依托</w:t>
            </w:r>
            <w:r>
              <w:rPr>
                <w:rFonts w:hint="default" w:ascii="Times New Roman" w:hAnsi="Times New Roman" w:cs="Times New Roman"/>
                <w:color w:val="auto"/>
                <w:sz w:val="21"/>
                <w:szCs w:val="21"/>
                <w:highlight w:val="none"/>
                <w:lang w:val="en-US" w:eastAsia="zh-CN"/>
              </w:rPr>
              <w:t>厂区南侧</w:t>
            </w:r>
            <w:r>
              <w:rPr>
                <w:rFonts w:hint="eastAsia" w:ascii="Times New Roman" w:hAnsi="Times New Roman" w:cs="Times New Roman"/>
                <w:color w:val="auto"/>
                <w:sz w:val="21"/>
                <w:szCs w:val="21"/>
                <w:highlight w:val="none"/>
                <w:lang w:val="en-US" w:eastAsia="zh-CN"/>
              </w:rPr>
              <w:t>现有</w:t>
            </w:r>
            <w:r>
              <w:rPr>
                <w:rFonts w:hint="default" w:ascii="Times New Roman" w:hAnsi="Times New Roman" w:cs="Times New Roman"/>
                <w:i w:val="0"/>
                <w:color w:val="auto"/>
                <w:kern w:val="0"/>
                <w:sz w:val="21"/>
                <w:szCs w:val="21"/>
                <w:highlight w:val="none"/>
                <w:u w:val="none"/>
                <w:lang w:val="en-US" w:eastAsia="zh-CN" w:bidi="ar"/>
              </w:rPr>
              <w:t>容积为400m</w:t>
            </w:r>
            <w:r>
              <w:rPr>
                <w:rFonts w:hint="default" w:ascii="Times New Roman" w:hAnsi="Times New Roman" w:cs="Times New Roman"/>
                <w:i w:val="0"/>
                <w:color w:val="auto"/>
                <w:kern w:val="0"/>
                <w:sz w:val="21"/>
                <w:szCs w:val="21"/>
                <w:highlight w:val="none"/>
                <w:u w:val="none"/>
                <w:vertAlign w:val="superscript"/>
                <w:lang w:val="en-US" w:eastAsia="zh-CN" w:bidi="ar"/>
              </w:rPr>
              <w:t>3</w:t>
            </w:r>
            <w:r>
              <w:rPr>
                <w:rFonts w:hint="default" w:ascii="Times New Roman" w:hAnsi="Times New Roman" w:cs="Times New Roman"/>
                <w:i w:val="0"/>
                <w:color w:val="auto"/>
                <w:kern w:val="0"/>
                <w:sz w:val="21"/>
                <w:szCs w:val="21"/>
                <w:highlight w:val="none"/>
                <w:u w:val="none"/>
                <w:lang w:val="en-US" w:eastAsia="zh-CN" w:bidi="ar"/>
              </w:rPr>
              <w:t>的事故应急池</w:t>
            </w:r>
            <w:r>
              <w:rPr>
                <w:rFonts w:hint="default" w:ascii="Times New Roman" w:hAnsi="Times New Roman" w:cs="Times New Roman"/>
                <w:color w:val="auto"/>
                <w:spacing w:val="0"/>
                <w:sz w:val="21"/>
                <w:szCs w:val="21"/>
                <w:highlight w:val="none"/>
                <w:lang w:val="en-US" w:eastAsia="zh-CN"/>
              </w:rPr>
              <w:t>。</w:t>
            </w:r>
          </w:p>
        </w:tc>
        <w:tc>
          <w:tcPr>
            <w:tcW w:w="42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与环评一致。</w:t>
            </w:r>
          </w:p>
        </w:tc>
        <w:tc>
          <w:tcPr>
            <w:tcW w:w="3506" w:type="dxa"/>
            <w:noWrap w:val="0"/>
            <w:vAlign w:val="center"/>
          </w:tcPr>
          <w:p>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bl>
    <w:p>
      <w:pPr>
        <w:pStyle w:val="16"/>
        <w:ind w:left="0" w:leftChars="0" w:firstLine="0" w:firstLineChars="0"/>
        <w:rPr>
          <w:rFonts w:hint="default"/>
          <w:highlight w:val="none"/>
          <w:lang w:val="en-US" w:eastAsia="zh-CN"/>
        </w:rPr>
        <w:sectPr>
          <w:pgSz w:w="16838" w:h="11906" w:orient="landscape"/>
          <w:pgMar w:top="1417" w:right="1417" w:bottom="1417" w:left="1417" w:header="851" w:footer="992" w:gutter="0"/>
          <w:pgNumType w:fmt="decimal"/>
          <w:cols w:space="720" w:num="1"/>
          <w:rtlGutter w:val="0"/>
          <w:docGrid w:type="lines" w:linePitch="318" w:charSpace="0"/>
        </w:sectPr>
      </w:pP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highlight w:val="none"/>
          <w:lang w:val="en-US" w:eastAsia="zh-CN"/>
        </w:rPr>
      </w:pPr>
      <w:r>
        <w:rPr>
          <w:rFonts w:hint="default" w:ascii="Times New Roman" w:hAnsi="Times New Roman" w:cs="宋体"/>
          <w:highlight w:val="none"/>
          <w:lang w:val="en-US" w:eastAsia="zh-CN"/>
        </w:rPr>
        <w:t>表4.</w:t>
      </w:r>
      <w:r>
        <w:rPr>
          <w:rFonts w:hint="eastAsia" w:ascii="Times New Roman" w:hAnsi="Times New Roman" w:cs="宋体"/>
          <w:highlight w:val="none"/>
          <w:lang w:val="en-US" w:eastAsia="zh-CN"/>
        </w:rPr>
        <w:t>2</w:t>
      </w:r>
      <w:r>
        <w:rPr>
          <w:rFonts w:hint="default" w:ascii="Times New Roman" w:hAnsi="Times New Roman" w:cs="宋体"/>
          <w:highlight w:val="none"/>
          <w:lang w:val="en-US" w:eastAsia="zh-CN"/>
        </w:rPr>
        <w:t>-</w:t>
      </w:r>
      <w:r>
        <w:rPr>
          <w:rFonts w:hint="eastAsia" w:ascii="Times New Roman" w:hAnsi="Times New Roman" w:cs="宋体"/>
          <w:highlight w:val="none"/>
          <w:lang w:val="en-US" w:eastAsia="zh-CN"/>
        </w:rPr>
        <w:t>1</w:t>
      </w:r>
      <w:r>
        <w:rPr>
          <w:rFonts w:hint="default" w:ascii="Times New Roman" w:hAnsi="Times New Roman" w:cs="宋体"/>
          <w:highlight w:val="none"/>
          <w:lang w:val="en-US" w:eastAsia="zh-CN"/>
        </w:rPr>
        <w:t xml:space="preserve">  审批部门要求的环保措施落实情况一览表</w:t>
      </w:r>
    </w:p>
    <w:tbl>
      <w:tblPr>
        <w:tblStyle w:val="29"/>
        <w:tblW w:w="50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1"/>
        <w:gridCol w:w="4991"/>
        <w:gridCol w:w="6179"/>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jc w:val="center"/>
        </w:trPr>
        <w:tc>
          <w:tcPr>
            <w:tcW w:w="39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4"/>
                <w:kern w:val="0"/>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u w:val="none"/>
              </w:rPr>
              <w:t>措施类别</w:t>
            </w: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4"/>
                <w:kern w:val="0"/>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u w:val="none"/>
                <w:lang w:eastAsia="zh-CN"/>
              </w:rPr>
              <w:t>审批要求</w:t>
            </w:r>
          </w:p>
        </w:tc>
        <w:tc>
          <w:tcPr>
            <w:tcW w:w="2169"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4"/>
                <w:kern w:val="0"/>
                <w:sz w:val="21"/>
                <w:szCs w:val="21"/>
                <w:highlight w:val="none"/>
                <w:vertAlign w:val="baseline"/>
                <w:lang w:eastAsia="zh-CN"/>
              </w:rPr>
            </w:pPr>
            <w:r>
              <w:rPr>
                <w:rFonts w:hint="default" w:ascii="Times New Roman" w:hAnsi="Times New Roman" w:eastAsia="宋体" w:cs="Times New Roman"/>
                <w:b/>
                <w:bCs w:val="0"/>
                <w:color w:val="auto"/>
                <w:spacing w:val="4"/>
                <w:kern w:val="0"/>
                <w:sz w:val="21"/>
                <w:szCs w:val="21"/>
                <w:highlight w:val="none"/>
                <w:vertAlign w:val="baseline"/>
                <w:lang w:eastAsia="zh-CN"/>
              </w:rPr>
              <w:t>实际落实情况</w:t>
            </w:r>
          </w:p>
        </w:tc>
        <w:tc>
          <w:tcPr>
            <w:tcW w:w="687"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4"/>
                <w:kern w:val="0"/>
                <w:sz w:val="21"/>
                <w:szCs w:val="21"/>
                <w:highlight w:val="none"/>
                <w:vertAlign w:val="baseline"/>
                <w:lang w:eastAsia="zh-CN"/>
              </w:rPr>
            </w:pPr>
            <w:r>
              <w:rPr>
                <w:rFonts w:hint="default" w:ascii="Times New Roman" w:hAnsi="Times New Roman" w:cs="Times New Roman"/>
                <w:b/>
                <w:bCs w:val="0"/>
                <w:color w:val="auto"/>
                <w:spacing w:val="4"/>
                <w:kern w:val="0"/>
                <w:sz w:val="21"/>
                <w:szCs w:val="21"/>
                <w:highlight w:val="none"/>
                <w:vertAlign w:val="baseline"/>
                <w:lang w:eastAsia="zh-CN"/>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90"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废水</w:t>
            </w: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sz w:val="21"/>
                <w:szCs w:val="21"/>
                <w:highlight w:val="none"/>
                <w:u w:val="none"/>
                <w:lang w:eastAsia="zh-CN"/>
              </w:rPr>
              <w:t>生活污水依托现有工程预处理设施处理后进入园区污水管网，纳入福安市湾坞西片区污水处理厂处理。</w:t>
            </w:r>
          </w:p>
        </w:tc>
        <w:tc>
          <w:tcPr>
            <w:tcW w:w="2169"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pacing w:val="4"/>
                <w:kern w:val="0"/>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u w:val="none"/>
                <w:lang w:eastAsia="zh-CN"/>
              </w:rPr>
              <w:t>生活污水依托现有</w:t>
            </w:r>
            <w:r>
              <w:rPr>
                <w:rFonts w:hint="eastAsia" w:ascii="Times New Roman" w:hAnsi="Times New Roman" w:cs="Times New Roman"/>
                <w:b w:val="0"/>
                <w:bCs/>
                <w:color w:val="auto"/>
                <w:sz w:val="21"/>
                <w:szCs w:val="21"/>
                <w:highlight w:val="none"/>
                <w:u w:val="none"/>
                <w:lang w:val="en-US" w:eastAsia="zh-CN"/>
              </w:rPr>
              <w:t>地埋式化粪池</w:t>
            </w:r>
            <w:r>
              <w:rPr>
                <w:rFonts w:hint="default" w:ascii="Times New Roman" w:hAnsi="Times New Roman" w:eastAsia="宋体" w:cs="Times New Roman"/>
                <w:b w:val="0"/>
                <w:bCs/>
                <w:color w:val="auto"/>
                <w:sz w:val="21"/>
                <w:szCs w:val="21"/>
                <w:highlight w:val="none"/>
                <w:u w:val="none"/>
                <w:lang w:eastAsia="zh-CN"/>
              </w:rPr>
              <w:t>预处理</w:t>
            </w:r>
            <w:r>
              <w:rPr>
                <w:rFonts w:hint="eastAsia" w:ascii="Times New Roman" w:hAnsi="Times New Roman" w:cs="Times New Roman"/>
                <w:b w:val="0"/>
                <w:bCs/>
                <w:color w:val="auto"/>
                <w:sz w:val="21"/>
                <w:szCs w:val="21"/>
                <w:highlight w:val="none"/>
                <w:u w:val="none"/>
                <w:lang w:eastAsia="zh-CN"/>
              </w:rPr>
              <w:t>，</w:t>
            </w:r>
            <w:r>
              <w:rPr>
                <w:rFonts w:hint="default" w:ascii="Times New Roman" w:hAnsi="Times New Roman" w:eastAsia="宋体" w:cs="Times New Roman"/>
                <w:b w:val="0"/>
                <w:bCs/>
                <w:color w:val="auto"/>
                <w:sz w:val="21"/>
                <w:szCs w:val="21"/>
                <w:highlight w:val="none"/>
                <w:u w:val="none"/>
                <w:lang w:eastAsia="zh-CN"/>
              </w:rPr>
              <w:t>后</w:t>
            </w:r>
            <w:r>
              <w:rPr>
                <w:rFonts w:hint="eastAsia" w:ascii="Times New Roman" w:hAnsi="Times New Roman" w:cs="Times New Roman"/>
                <w:b w:val="0"/>
                <w:bCs/>
                <w:color w:val="auto"/>
                <w:sz w:val="21"/>
                <w:szCs w:val="21"/>
                <w:highlight w:val="none"/>
                <w:u w:val="none"/>
                <w:lang w:val="en-US" w:eastAsia="zh-CN"/>
              </w:rPr>
              <w:t>由现有DW001废水排放口排</w:t>
            </w:r>
            <w:r>
              <w:rPr>
                <w:rFonts w:hint="default" w:ascii="Times New Roman" w:hAnsi="Times New Roman" w:eastAsia="宋体" w:cs="Times New Roman"/>
                <w:b w:val="0"/>
                <w:bCs/>
                <w:color w:val="auto"/>
                <w:sz w:val="21"/>
                <w:szCs w:val="21"/>
                <w:highlight w:val="none"/>
                <w:u w:val="none"/>
                <w:lang w:eastAsia="zh-CN"/>
              </w:rPr>
              <w:t>入园区污水管网，纳入福安市湾坞西片区污水处理厂处理。</w:t>
            </w:r>
          </w:p>
        </w:tc>
        <w:tc>
          <w:tcPr>
            <w:tcW w:w="687"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4"/>
                <w:kern w:val="0"/>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90"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u w:val="none"/>
                <w:lang w:val="en-US" w:eastAsia="zh-CN"/>
              </w:rPr>
            </w:pP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sz w:val="21"/>
                <w:szCs w:val="21"/>
                <w:highlight w:val="none"/>
                <w:u w:val="none"/>
                <w:lang w:eastAsia="zh-CN"/>
              </w:rPr>
              <w:t>初期雨水经收集后依托厂区现有初期雨水池，采用“沉淀+过滤”处理后进入园区污水管网，纳入福安市湾坞西片区污水处理厂处理。</w:t>
            </w:r>
          </w:p>
        </w:tc>
        <w:tc>
          <w:tcPr>
            <w:tcW w:w="2169"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color w:val="auto"/>
                <w:spacing w:val="4"/>
                <w:kern w:val="0"/>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u w:val="none"/>
                <w:lang w:eastAsia="zh-CN"/>
              </w:rPr>
              <w:t>初期雨水</w:t>
            </w:r>
            <w:r>
              <w:rPr>
                <w:rFonts w:hint="eastAsia" w:ascii="Times New Roman" w:hAnsi="Times New Roman" w:cs="Times New Roman"/>
                <w:b w:val="0"/>
                <w:bCs/>
                <w:color w:val="auto"/>
                <w:sz w:val="21"/>
                <w:szCs w:val="21"/>
                <w:highlight w:val="none"/>
                <w:u w:val="none"/>
                <w:lang w:val="en-US" w:eastAsia="zh-CN"/>
              </w:rPr>
              <w:t>由现有截排水沟</w:t>
            </w:r>
            <w:r>
              <w:rPr>
                <w:rFonts w:hint="default" w:ascii="Times New Roman" w:hAnsi="Times New Roman" w:eastAsia="宋体" w:cs="Times New Roman"/>
                <w:b w:val="0"/>
                <w:bCs/>
                <w:color w:val="auto"/>
                <w:sz w:val="21"/>
                <w:szCs w:val="21"/>
                <w:highlight w:val="none"/>
                <w:u w:val="none"/>
                <w:lang w:eastAsia="zh-CN"/>
              </w:rPr>
              <w:t>收集</w:t>
            </w:r>
            <w:r>
              <w:rPr>
                <w:rFonts w:hint="eastAsia" w:ascii="Times New Roman" w:hAnsi="Times New Roman" w:cs="Times New Roman"/>
                <w:b w:val="0"/>
                <w:bCs/>
                <w:color w:val="auto"/>
                <w:sz w:val="21"/>
                <w:szCs w:val="21"/>
                <w:highlight w:val="none"/>
                <w:u w:val="none"/>
                <w:lang w:eastAsia="zh-CN"/>
              </w:rPr>
              <w:t>，</w:t>
            </w:r>
            <w:r>
              <w:rPr>
                <w:rFonts w:hint="eastAsia" w:ascii="Times New Roman" w:hAnsi="Times New Roman" w:cs="Times New Roman"/>
                <w:b w:val="0"/>
                <w:bCs/>
                <w:color w:val="auto"/>
                <w:sz w:val="21"/>
                <w:szCs w:val="21"/>
                <w:highlight w:val="none"/>
                <w:u w:val="none"/>
                <w:lang w:val="en-US" w:eastAsia="zh-CN"/>
              </w:rPr>
              <w:t>进现有480m</w:t>
            </w:r>
            <w:r>
              <w:rPr>
                <w:rFonts w:hint="eastAsia" w:ascii="Times New Roman" w:hAnsi="Times New Roman" w:cs="Times New Roman"/>
                <w:b w:val="0"/>
                <w:bCs/>
                <w:color w:val="auto"/>
                <w:sz w:val="21"/>
                <w:szCs w:val="21"/>
                <w:highlight w:val="none"/>
                <w:u w:val="none"/>
                <w:vertAlign w:val="superscript"/>
                <w:lang w:val="en-US" w:eastAsia="zh-CN"/>
              </w:rPr>
              <w:t>3</w:t>
            </w:r>
            <w:r>
              <w:rPr>
                <w:rFonts w:hint="eastAsia" w:ascii="Times New Roman" w:hAnsi="Times New Roman" w:cs="Times New Roman"/>
                <w:b w:val="0"/>
                <w:bCs/>
                <w:color w:val="auto"/>
                <w:sz w:val="21"/>
                <w:szCs w:val="21"/>
                <w:highlight w:val="none"/>
                <w:u w:val="none"/>
                <w:lang w:val="en-US" w:eastAsia="zh-CN"/>
              </w:rPr>
              <w:t>初期雨水池，</w:t>
            </w:r>
            <w:r>
              <w:rPr>
                <w:rFonts w:hint="default" w:ascii="Times New Roman" w:hAnsi="Times New Roman" w:eastAsia="宋体" w:cs="Times New Roman"/>
                <w:b w:val="0"/>
                <w:bCs/>
                <w:color w:val="auto"/>
                <w:sz w:val="21"/>
                <w:szCs w:val="21"/>
                <w:highlight w:val="none"/>
                <w:u w:val="none"/>
                <w:lang w:eastAsia="zh-CN"/>
              </w:rPr>
              <w:t>采用</w:t>
            </w:r>
            <w:r>
              <w:rPr>
                <w:rFonts w:hint="eastAsia" w:ascii="Times New Roman" w:hAnsi="Times New Roman" w:cs="Times New Roman"/>
                <w:b w:val="0"/>
                <w:bCs/>
                <w:color w:val="auto"/>
                <w:sz w:val="21"/>
                <w:szCs w:val="21"/>
                <w:highlight w:val="none"/>
                <w:u w:val="none"/>
                <w:lang w:eastAsia="zh-CN"/>
              </w:rPr>
              <w:t>“</w:t>
            </w:r>
            <w:r>
              <w:rPr>
                <w:rFonts w:hint="default" w:ascii="Times New Roman" w:hAnsi="Times New Roman" w:eastAsia="宋体" w:cs="Times New Roman"/>
                <w:b w:val="0"/>
                <w:bCs/>
                <w:color w:val="auto"/>
                <w:sz w:val="21"/>
                <w:szCs w:val="21"/>
                <w:highlight w:val="none"/>
                <w:u w:val="none"/>
                <w:lang w:eastAsia="zh-CN"/>
              </w:rPr>
              <w:t>沉淀+过滤</w:t>
            </w:r>
            <w:r>
              <w:rPr>
                <w:rFonts w:hint="eastAsia" w:ascii="Times New Roman" w:hAnsi="Times New Roman" w:cs="Times New Roman"/>
                <w:b w:val="0"/>
                <w:bCs/>
                <w:color w:val="auto"/>
                <w:sz w:val="21"/>
                <w:szCs w:val="21"/>
                <w:highlight w:val="none"/>
                <w:u w:val="none"/>
                <w:lang w:eastAsia="zh-CN"/>
              </w:rPr>
              <w:t>”</w:t>
            </w:r>
            <w:r>
              <w:rPr>
                <w:rFonts w:hint="default" w:ascii="Times New Roman" w:hAnsi="Times New Roman" w:eastAsia="宋体" w:cs="Times New Roman"/>
                <w:b w:val="0"/>
                <w:bCs/>
                <w:color w:val="auto"/>
                <w:sz w:val="21"/>
                <w:szCs w:val="21"/>
                <w:highlight w:val="none"/>
                <w:u w:val="none"/>
                <w:lang w:eastAsia="zh-CN"/>
              </w:rPr>
              <w:t>处理后</w:t>
            </w:r>
            <w:r>
              <w:rPr>
                <w:rFonts w:hint="eastAsia" w:ascii="Times New Roman" w:hAnsi="Times New Roman" w:cs="Times New Roman"/>
                <w:b w:val="0"/>
                <w:bCs/>
                <w:color w:val="auto"/>
                <w:sz w:val="21"/>
                <w:szCs w:val="21"/>
                <w:highlight w:val="none"/>
                <w:u w:val="none"/>
                <w:lang w:eastAsia="zh-CN"/>
              </w:rPr>
              <w:t>，</w:t>
            </w:r>
            <w:r>
              <w:rPr>
                <w:rFonts w:hint="eastAsia" w:ascii="Times New Roman" w:hAnsi="Times New Roman" w:cs="Times New Roman"/>
                <w:b w:val="0"/>
                <w:bCs/>
                <w:color w:val="auto"/>
                <w:sz w:val="21"/>
                <w:szCs w:val="21"/>
                <w:highlight w:val="none"/>
                <w:u w:val="none"/>
                <w:lang w:val="en-US" w:eastAsia="zh-CN"/>
              </w:rPr>
              <w:t>由现有DW001废水排放口排</w:t>
            </w:r>
            <w:r>
              <w:rPr>
                <w:rFonts w:hint="default" w:ascii="Times New Roman" w:hAnsi="Times New Roman" w:eastAsia="宋体" w:cs="Times New Roman"/>
                <w:b w:val="0"/>
                <w:bCs/>
                <w:color w:val="auto"/>
                <w:sz w:val="21"/>
                <w:szCs w:val="21"/>
                <w:highlight w:val="none"/>
                <w:u w:val="none"/>
                <w:lang w:eastAsia="zh-CN"/>
              </w:rPr>
              <w:t>入园区污水管网，纳入福安市湾坞西片区污水处理厂处理。</w:t>
            </w:r>
          </w:p>
        </w:tc>
        <w:tc>
          <w:tcPr>
            <w:tcW w:w="687"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90"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u w:val="none"/>
                <w:lang w:val="en-US" w:eastAsia="zh-CN"/>
              </w:rPr>
            </w:pP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sz w:val="21"/>
                <w:szCs w:val="21"/>
                <w:highlight w:val="none"/>
                <w:u w:val="none"/>
                <w:lang w:eastAsia="zh-CN"/>
              </w:rPr>
              <w:t>项目废水排放执行《污水综合排放标准》（GB8978-1996）表4中三级标准，其中氨氮指标执行《污水排入城镇下水道水质标准》（GB/T31962-2015）中B等级标准。</w:t>
            </w:r>
          </w:p>
        </w:tc>
        <w:tc>
          <w:tcPr>
            <w:tcW w:w="2169"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eastAsia" w:ascii="Times New Roman" w:hAnsi="Times New Roman" w:cs="Times New Roman"/>
                <w:b w:val="0"/>
                <w:bCs/>
                <w:color w:val="auto"/>
                <w:sz w:val="21"/>
                <w:szCs w:val="21"/>
                <w:highlight w:val="none"/>
                <w:u w:val="none"/>
                <w:lang w:val="en-US" w:eastAsia="zh-CN"/>
              </w:rPr>
              <w:t>验收监测表明，厂区废水总排口DW001排放废水</w:t>
            </w:r>
            <w:r>
              <w:rPr>
                <w:rFonts w:hint="eastAsia" w:cs="Times New Roman"/>
                <w:b w:val="0"/>
                <w:bCs/>
                <w:color w:val="auto"/>
                <w:sz w:val="21"/>
                <w:szCs w:val="21"/>
                <w:highlight w:val="none"/>
                <w:u w:val="none"/>
                <w:lang w:val="en-US" w:eastAsia="zh-CN"/>
              </w:rPr>
              <w:t>中的pH、SS、COD、BOD</w:t>
            </w:r>
            <w:r>
              <w:rPr>
                <w:rFonts w:hint="eastAsia" w:cs="Times New Roman"/>
                <w:b w:val="0"/>
                <w:bCs/>
                <w:color w:val="auto"/>
                <w:sz w:val="21"/>
                <w:szCs w:val="21"/>
                <w:highlight w:val="none"/>
                <w:u w:val="none"/>
                <w:vertAlign w:val="subscript"/>
                <w:lang w:val="en-US" w:eastAsia="zh-CN"/>
              </w:rPr>
              <w:t>5</w:t>
            </w:r>
            <w:r>
              <w:rPr>
                <w:rFonts w:hint="eastAsia" w:ascii="Times New Roman" w:hAnsi="Times New Roman" w:cs="Times New Roman"/>
                <w:b w:val="0"/>
                <w:bCs/>
                <w:color w:val="auto"/>
                <w:sz w:val="21"/>
                <w:szCs w:val="21"/>
                <w:highlight w:val="none"/>
                <w:u w:val="none"/>
                <w:lang w:val="en-US" w:eastAsia="zh-CN"/>
              </w:rPr>
              <w:t>符合《污水综合排放标准》（GB8978-1996）表4三级排放标准，氨氮</w:t>
            </w:r>
            <w:r>
              <w:rPr>
                <w:rFonts w:hint="eastAsia" w:cs="Times New Roman"/>
                <w:b w:val="0"/>
                <w:bCs/>
                <w:color w:val="auto"/>
                <w:sz w:val="21"/>
                <w:szCs w:val="21"/>
                <w:highlight w:val="none"/>
                <w:u w:val="none"/>
                <w:lang w:val="en-US" w:eastAsia="zh-CN"/>
              </w:rPr>
              <w:t>、总磷</w:t>
            </w:r>
            <w:r>
              <w:rPr>
                <w:rFonts w:hint="eastAsia" w:ascii="Times New Roman" w:hAnsi="Times New Roman" w:cs="Times New Roman"/>
                <w:b w:val="0"/>
                <w:bCs/>
                <w:color w:val="auto"/>
                <w:sz w:val="21"/>
                <w:szCs w:val="21"/>
                <w:highlight w:val="none"/>
                <w:u w:val="none"/>
                <w:lang w:val="en-US" w:eastAsia="zh-CN"/>
              </w:rPr>
              <w:t>符合《污水排入城镇下水道水质标准》（GB/T 31962-2015）B级标准。</w:t>
            </w:r>
          </w:p>
        </w:tc>
        <w:tc>
          <w:tcPr>
            <w:tcW w:w="687"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90"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废气</w:t>
            </w: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sz w:val="21"/>
                <w:szCs w:val="21"/>
                <w:highlight w:val="none"/>
                <w:u w:val="none"/>
                <w:lang w:eastAsia="zh-CN"/>
              </w:rPr>
              <w:t>原料破碎、筛分工序产生的废气分别收集处理后经排气筒排放，排气筒数量、高度等应按《报告表》要求规范化建设。</w:t>
            </w:r>
          </w:p>
        </w:tc>
        <w:tc>
          <w:tcPr>
            <w:tcW w:w="216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（1）因处理原料含水率的变化，</w:t>
            </w:r>
            <w:r>
              <w:rPr>
                <w:rFonts w:hint="default" w:ascii="Times New Roman" w:hAnsi="Times New Roman" w:eastAsia="宋体" w:cs="Times New Roman"/>
                <w:i w:val="0"/>
                <w:color w:val="auto"/>
                <w:kern w:val="0"/>
                <w:sz w:val="21"/>
                <w:szCs w:val="21"/>
                <w:highlight w:val="none"/>
                <w:u w:val="none"/>
                <w:lang w:val="en-US" w:eastAsia="zh-CN" w:bidi="ar"/>
              </w:rPr>
              <w:t>一次破碎和筛分</w:t>
            </w:r>
            <w:r>
              <w:rPr>
                <w:rFonts w:hint="eastAsia" w:ascii="Times New Roman" w:hAnsi="Times New Roman" w:eastAsia="宋体" w:cs="Times New Roman"/>
                <w:i w:val="0"/>
                <w:color w:val="auto"/>
                <w:kern w:val="0"/>
                <w:sz w:val="21"/>
                <w:szCs w:val="21"/>
                <w:highlight w:val="none"/>
                <w:u w:val="none"/>
                <w:lang w:val="en-US" w:eastAsia="zh-CN" w:bidi="ar"/>
              </w:rPr>
              <w:t>产生粉尘含水率较高，易粘结并堵塞布袋除尘器，故</w:t>
            </w:r>
            <w:r>
              <w:rPr>
                <w:rFonts w:hint="default" w:ascii="Times New Roman" w:hAnsi="Times New Roman" w:eastAsia="宋体" w:cs="Times New Roman"/>
                <w:i w:val="0"/>
                <w:color w:val="auto"/>
                <w:kern w:val="0"/>
                <w:sz w:val="21"/>
                <w:szCs w:val="21"/>
                <w:highlight w:val="none"/>
                <w:u w:val="none"/>
                <w:lang w:val="en-US" w:eastAsia="zh-CN" w:bidi="ar"/>
              </w:rPr>
              <w:t>一次破碎和筛分生产过程产生的废气由</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集气罩+布袋除尘+20m排气筒</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变为</w:t>
            </w:r>
            <w:r>
              <w:rPr>
                <w:rFonts w:hint="eastAsia" w:ascii="Times New Roman" w:hAnsi="Times New Roman" w:cs="Times New Roman"/>
                <w:i w:val="0"/>
                <w:color w:val="auto"/>
                <w:kern w:val="0"/>
                <w:sz w:val="21"/>
                <w:szCs w:val="21"/>
                <w:highlight w:val="none"/>
                <w:u w:val="none"/>
                <w:lang w:val="en-US" w:eastAsia="zh-CN" w:bidi="ar"/>
              </w:rPr>
              <w:t>“雾炮抑尘</w:t>
            </w:r>
            <w:r>
              <w:rPr>
                <w:rFonts w:hint="default" w:ascii="Times New Roman" w:hAnsi="Times New Roman" w:eastAsia="宋体" w:cs="Times New Roman"/>
                <w:i w:val="0"/>
                <w:color w:val="auto"/>
                <w:kern w:val="0"/>
                <w:sz w:val="21"/>
                <w:szCs w:val="21"/>
                <w:highlight w:val="none"/>
                <w:u w:val="none"/>
                <w:lang w:val="en-US" w:eastAsia="zh-CN" w:bidi="ar"/>
              </w:rPr>
              <w:t>设施</w:t>
            </w:r>
            <w:r>
              <w:rPr>
                <w:rFonts w:hint="eastAsia"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处理</w:t>
            </w:r>
            <w:r>
              <w:rPr>
                <w:rFonts w:hint="eastAsia" w:ascii="Times New Roman" w:hAnsi="Times New Roman" w:cs="Times New Roman"/>
                <w:i w:val="0"/>
                <w:color w:val="auto"/>
                <w:kern w:val="0"/>
                <w:sz w:val="21"/>
                <w:szCs w:val="21"/>
                <w:highlight w:val="none"/>
                <w:u w:val="none"/>
                <w:lang w:val="en-US" w:eastAsia="zh-CN" w:bidi="ar"/>
              </w:rPr>
              <w:t>（射程分别为60m和80m）</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cs="Times New Roman"/>
                <w:i w:val="0"/>
                <w:color w:val="auto"/>
                <w:kern w:val="0"/>
                <w:sz w:val="21"/>
                <w:szCs w:val="21"/>
                <w:highlight w:val="none"/>
                <w:u w:val="none"/>
                <w:lang w:val="en-US" w:eastAsia="zh-CN" w:bidi="ar"/>
              </w:rPr>
              <w:t>经《项目变动环境影响补充说明》核算及专家评审，项目无组织粉尘排放量增加0.1t/a（环评时项目无组织粉尘排放量1.66t/a），变动导致项目无组织排放量增加6%，低于10%，不属于重大变动</w:t>
            </w:r>
            <w:r>
              <w:rPr>
                <w:rFonts w:hint="eastAsia" w:ascii="Times New Roman" w:hAnsi="Times New Roman" w:eastAsia="宋体" w:cs="Times New Roman"/>
                <w:i w:val="0"/>
                <w:color w:val="auto"/>
                <w:kern w:val="0"/>
                <w:sz w:val="21"/>
                <w:szCs w:val="21"/>
                <w:highlight w:val="none"/>
                <w:u w:val="none"/>
                <w:lang w:val="en-US" w:eastAsia="zh-CN" w:bidi="ar"/>
              </w:rPr>
              <w:t>。</w:t>
            </w:r>
          </w:p>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pacing w:val="4"/>
                <w:kern w:val="0"/>
                <w:sz w:val="21"/>
                <w:szCs w:val="21"/>
                <w:highlight w:val="none"/>
                <w:vertAlign w:val="baseli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（2）</w:t>
            </w:r>
            <w:r>
              <w:rPr>
                <w:rFonts w:hint="eastAsia" w:cs="Times New Roman"/>
                <w:i w:val="0"/>
                <w:color w:val="auto"/>
                <w:kern w:val="0"/>
                <w:sz w:val="21"/>
                <w:szCs w:val="21"/>
                <w:highlight w:val="none"/>
                <w:u w:val="none"/>
                <w:lang w:val="en-US" w:eastAsia="zh-CN" w:bidi="ar"/>
              </w:rPr>
              <w:t>二次破碎机密闭负压运行，粉尘负压</w:t>
            </w:r>
            <w:r>
              <w:rPr>
                <w:rFonts w:hint="default" w:ascii="Times New Roman" w:hAnsi="Times New Roman" w:eastAsia="宋体" w:cs="Times New Roman"/>
                <w:i w:val="0"/>
                <w:color w:val="auto"/>
                <w:kern w:val="0"/>
                <w:sz w:val="21"/>
                <w:szCs w:val="21"/>
                <w:highlight w:val="none"/>
                <w:u w:val="none"/>
                <w:lang w:val="en-US" w:eastAsia="zh-CN" w:bidi="ar"/>
              </w:rPr>
              <w:t>收集后，采用布袋除尘</w:t>
            </w:r>
            <w:r>
              <w:rPr>
                <w:rFonts w:hint="eastAsia" w:ascii="Times New Roman" w:hAnsi="Times New Roman" w:cs="Times New Roman"/>
                <w:i w:val="0"/>
                <w:color w:val="auto"/>
                <w:kern w:val="0"/>
                <w:sz w:val="21"/>
                <w:szCs w:val="21"/>
                <w:highlight w:val="none"/>
                <w:u w:val="none"/>
                <w:lang w:val="en-US" w:eastAsia="zh-CN" w:bidi="ar"/>
              </w:rPr>
              <w:t>器</w:t>
            </w:r>
            <w:r>
              <w:rPr>
                <w:rFonts w:hint="default" w:ascii="Times New Roman" w:hAnsi="Times New Roman" w:eastAsia="宋体" w:cs="Times New Roman"/>
                <w:i w:val="0"/>
                <w:color w:val="auto"/>
                <w:kern w:val="0"/>
                <w:sz w:val="21"/>
                <w:szCs w:val="21"/>
                <w:highlight w:val="none"/>
                <w:u w:val="none"/>
                <w:lang w:val="en-US" w:eastAsia="zh-CN" w:bidi="ar"/>
              </w:rPr>
              <w:t>处理</w:t>
            </w:r>
            <w:r>
              <w:rPr>
                <w:rFonts w:hint="default" w:ascii="Times New Roman" w:hAnsi="Times New Roman" w:eastAsia="宋体" w:cs="Times New Roman"/>
                <w:b w:val="0"/>
                <w:bCs/>
                <w:color w:val="auto"/>
                <w:sz w:val="21"/>
                <w:szCs w:val="21"/>
                <w:highlight w:val="none"/>
                <w:u w:val="none"/>
                <w:lang w:eastAsia="zh-CN"/>
              </w:rPr>
              <w:t>后</w:t>
            </w:r>
            <w:r>
              <w:rPr>
                <w:rFonts w:hint="eastAsia" w:ascii="Times New Roman" w:hAnsi="Times New Roman" w:cs="Times New Roman"/>
                <w:b w:val="0"/>
                <w:bCs/>
                <w:color w:val="auto"/>
                <w:sz w:val="21"/>
                <w:szCs w:val="21"/>
                <w:highlight w:val="none"/>
                <w:u w:val="none"/>
                <w:lang w:eastAsia="zh-CN"/>
              </w:rPr>
              <w:t>，</w:t>
            </w:r>
            <w:r>
              <w:rPr>
                <w:rFonts w:hint="eastAsia" w:ascii="Times New Roman" w:hAnsi="Times New Roman" w:cs="Times New Roman"/>
                <w:b w:val="0"/>
                <w:bCs/>
                <w:color w:val="auto"/>
                <w:sz w:val="21"/>
                <w:szCs w:val="21"/>
                <w:highlight w:val="none"/>
                <w:u w:val="none"/>
                <w:lang w:val="en-US" w:eastAsia="zh-CN"/>
              </w:rPr>
              <w:t>由</w:t>
            </w:r>
            <w:r>
              <w:rPr>
                <w:rFonts w:hint="eastAsia" w:ascii="Times New Roman" w:hAnsi="Times New Roman"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根20米高排气筒排放</w:t>
            </w:r>
            <w:r>
              <w:rPr>
                <w:rFonts w:hint="eastAsia" w:ascii="Times New Roman" w:hAnsi="Times New Roman" w:cs="Times New Roman"/>
                <w:i w:val="0"/>
                <w:color w:val="auto"/>
                <w:kern w:val="0"/>
                <w:sz w:val="21"/>
                <w:szCs w:val="21"/>
                <w:highlight w:val="none"/>
                <w:u w:val="none"/>
                <w:lang w:val="en-US" w:eastAsia="zh-CN" w:bidi="ar"/>
              </w:rPr>
              <w:t>。排气筒数量、高度与《报告表》一致。</w:t>
            </w:r>
          </w:p>
        </w:tc>
        <w:tc>
          <w:tcPr>
            <w:tcW w:w="687"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90"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u w:val="none"/>
              </w:rPr>
            </w:pP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sz w:val="21"/>
                <w:szCs w:val="21"/>
                <w:highlight w:val="none"/>
                <w:u w:val="none"/>
                <w:lang w:eastAsia="zh-CN"/>
              </w:rPr>
              <w:t>粉尘等无组织废气应采取厂房阻隔、喷淋等措施减少排放。</w:t>
            </w:r>
          </w:p>
        </w:tc>
        <w:tc>
          <w:tcPr>
            <w:tcW w:w="2169"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b w:val="0"/>
                <w:bCs/>
                <w:color w:val="auto"/>
                <w:spacing w:val="4"/>
                <w:kern w:val="0"/>
                <w:sz w:val="21"/>
                <w:szCs w:val="21"/>
                <w:highlight w:val="none"/>
                <w:vertAlign w:val="baseline"/>
                <w:lang w:val="en-US" w:eastAsia="zh-CN"/>
              </w:rPr>
              <w:t>（1）</w:t>
            </w:r>
            <w:r>
              <w:rPr>
                <w:rFonts w:hint="default" w:ascii="Times New Roman" w:hAnsi="Times New Roman" w:cs="Times New Roman"/>
                <w:i w:val="0"/>
                <w:color w:val="auto"/>
                <w:kern w:val="0"/>
                <w:sz w:val="21"/>
                <w:szCs w:val="21"/>
                <w:highlight w:val="none"/>
                <w:u w:val="none"/>
                <w:lang w:val="en-US" w:eastAsia="zh-CN" w:bidi="ar"/>
              </w:rPr>
              <w:t>采用密闭皮带输送机输送方式，皮带输送过程采用喷雾抑尘；</w:t>
            </w:r>
          </w:p>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在装卸车过程采用喷雾抑尘；运输过程使用车载篷布遮盖；</w:t>
            </w:r>
          </w:p>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w:t>
            </w:r>
            <w:r>
              <w:rPr>
                <w:rFonts w:hint="eastAsia" w:cs="Times New Roman"/>
                <w:i w:val="0"/>
                <w:color w:val="auto"/>
                <w:kern w:val="0"/>
                <w:sz w:val="21"/>
                <w:szCs w:val="21"/>
                <w:highlight w:val="none"/>
                <w:u w:val="none"/>
                <w:lang w:val="en-US" w:eastAsia="zh-CN" w:bidi="ar"/>
              </w:rPr>
              <w:t>车间封闭，</w:t>
            </w:r>
            <w:r>
              <w:rPr>
                <w:rFonts w:hint="default" w:ascii="Times New Roman" w:hAnsi="Times New Roman" w:cs="Times New Roman"/>
                <w:i w:val="0"/>
                <w:color w:val="auto"/>
                <w:kern w:val="0"/>
                <w:sz w:val="21"/>
                <w:szCs w:val="21"/>
                <w:highlight w:val="none"/>
                <w:u w:val="none"/>
                <w:lang w:val="en-US" w:eastAsia="zh-CN" w:bidi="ar"/>
              </w:rPr>
              <w:t>喷雾抑尘；</w:t>
            </w:r>
          </w:p>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color w:val="auto"/>
                <w:spacing w:val="4"/>
                <w:kern w:val="0"/>
                <w:sz w:val="21"/>
                <w:szCs w:val="21"/>
                <w:highlight w:val="none"/>
                <w:vertAlign w:val="baseline"/>
                <w:lang w:val="en-US" w:eastAsia="zh-CN"/>
              </w:rPr>
            </w:pPr>
            <w:r>
              <w:rPr>
                <w:rFonts w:hint="eastAsia" w:ascii="Times New Roman" w:hAnsi="Times New Roman" w:cs="Times New Roman"/>
                <w:i w:val="0"/>
                <w:color w:val="auto"/>
                <w:kern w:val="0"/>
                <w:sz w:val="21"/>
                <w:szCs w:val="21"/>
                <w:highlight w:val="none"/>
                <w:u w:val="none"/>
                <w:lang w:val="en-US" w:eastAsia="zh-CN" w:bidi="ar"/>
              </w:rPr>
              <w:t>（4）</w:t>
            </w:r>
            <w:r>
              <w:rPr>
                <w:rFonts w:hint="default" w:ascii="Times New Roman" w:hAnsi="Times New Roman" w:cs="Times New Roman"/>
                <w:i w:val="0"/>
                <w:color w:val="auto"/>
                <w:kern w:val="0"/>
                <w:sz w:val="21"/>
                <w:szCs w:val="21"/>
                <w:highlight w:val="none"/>
                <w:u w:val="none"/>
                <w:lang w:val="en-US" w:eastAsia="zh-CN" w:bidi="ar"/>
              </w:rPr>
              <w:t>堆场区域四周设置围挡，采取喷雾抑尘。</w:t>
            </w:r>
          </w:p>
        </w:tc>
        <w:tc>
          <w:tcPr>
            <w:tcW w:w="687"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90"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u w:val="none"/>
              </w:rPr>
            </w:pP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sz w:val="21"/>
                <w:szCs w:val="21"/>
                <w:highlight w:val="none"/>
                <w:u w:val="none"/>
                <w:lang w:eastAsia="zh-CN"/>
              </w:rPr>
              <w:t>项目废气中颗粒物排放执行《大气污染物综合排放标准》（GB16297-1996）表2中二级标准和无组织排放监控浓度限值。</w:t>
            </w:r>
          </w:p>
        </w:tc>
        <w:tc>
          <w:tcPr>
            <w:tcW w:w="2169"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b w:val="0"/>
                <w:bCs/>
                <w:color w:val="auto"/>
                <w:sz w:val="21"/>
                <w:szCs w:val="21"/>
                <w:highlight w:val="none"/>
                <w:u w:val="none"/>
                <w:lang w:val="en-US" w:eastAsia="zh-CN"/>
              </w:rPr>
              <w:t>验收监测表明，有组织废气颗粒物排放浓度、速率均符合《大气污染物综合排放标准》（GB16297-1996）表2二级标准限值（浓度≤120mg/m</w:t>
            </w:r>
            <w:r>
              <w:rPr>
                <w:rFonts w:hint="eastAsia" w:ascii="Times New Roman" w:hAnsi="Times New Roman" w:cs="Times New Roman"/>
                <w:b w:val="0"/>
                <w:bCs/>
                <w:color w:val="auto"/>
                <w:sz w:val="21"/>
                <w:szCs w:val="21"/>
                <w:highlight w:val="none"/>
                <w:u w:val="none"/>
                <w:vertAlign w:val="superscript"/>
                <w:lang w:val="en-US" w:eastAsia="zh-CN"/>
              </w:rPr>
              <w:t>3</w:t>
            </w:r>
            <w:r>
              <w:rPr>
                <w:rFonts w:hint="eastAsia" w:ascii="Times New Roman" w:hAnsi="Times New Roman" w:cs="Times New Roman"/>
                <w:b w:val="0"/>
                <w:bCs/>
                <w:color w:val="auto"/>
                <w:sz w:val="21"/>
                <w:szCs w:val="21"/>
                <w:highlight w:val="none"/>
                <w:u w:val="none"/>
                <w:lang w:val="en-US" w:eastAsia="zh-CN"/>
              </w:rPr>
              <w:t>，20m高排气筒排放速率≤5.9</w:t>
            </w:r>
            <w:r>
              <w:rPr>
                <w:rFonts w:hint="default" w:ascii="Times New Roman" w:hAnsi="Times New Roman" w:eastAsia="宋体" w:cs="Times New Roman"/>
                <w:color w:val="auto"/>
                <w:sz w:val="21"/>
                <w:szCs w:val="21"/>
                <w:highlight w:val="none"/>
              </w:rPr>
              <w:t>kg/h</w:t>
            </w:r>
            <w:r>
              <w:rPr>
                <w:rFonts w:hint="eastAsia" w:ascii="Times New Roman" w:hAnsi="Times New Roman" w:cs="Times New Roman"/>
                <w:b w:val="0"/>
                <w:bCs/>
                <w:color w:val="auto"/>
                <w:sz w:val="21"/>
                <w:szCs w:val="21"/>
                <w:highlight w:val="none"/>
                <w:u w:val="none"/>
                <w:lang w:val="en-US" w:eastAsia="zh-CN"/>
              </w:rPr>
              <w:t>）；厂界上下风向无组织颗粒物浓度符合《大气污染物综合排放标准》（GB16297-1996）表2周界外浓度最高点限值（浓度≤1mg/m</w:t>
            </w:r>
            <w:r>
              <w:rPr>
                <w:rFonts w:hint="eastAsia" w:ascii="Times New Roman" w:hAnsi="Times New Roman" w:cs="Times New Roman"/>
                <w:b w:val="0"/>
                <w:bCs/>
                <w:color w:val="auto"/>
                <w:sz w:val="21"/>
                <w:szCs w:val="21"/>
                <w:highlight w:val="none"/>
                <w:u w:val="none"/>
                <w:vertAlign w:val="superscript"/>
                <w:lang w:val="en-US" w:eastAsia="zh-CN"/>
              </w:rPr>
              <w:t>3</w:t>
            </w:r>
            <w:r>
              <w:rPr>
                <w:rFonts w:hint="eastAsia" w:ascii="Times New Roman" w:hAnsi="Times New Roman" w:cs="Times New Roman"/>
                <w:b w:val="0"/>
                <w:bCs/>
                <w:color w:val="auto"/>
                <w:sz w:val="21"/>
                <w:szCs w:val="21"/>
                <w:highlight w:val="none"/>
                <w:u w:val="none"/>
                <w:lang w:val="en-US" w:eastAsia="zh-CN"/>
              </w:rPr>
              <w:t>）。</w:t>
            </w:r>
          </w:p>
        </w:tc>
        <w:tc>
          <w:tcPr>
            <w:tcW w:w="687"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90"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噪声</w:t>
            </w: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sz w:val="21"/>
                <w:szCs w:val="21"/>
                <w:highlight w:val="none"/>
                <w:u w:val="none"/>
                <w:lang w:eastAsia="zh-CN"/>
              </w:rPr>
              <w:t>选用低噪声设备，全厂高噪声设备应采取隔声、消声、减振等措施，确保厂界噪声达标排放。厂界噪声执行《工业企业厂界环境噪声排放标准》（GB12348-2008）中3类标准。</w:t>
            </w:r>
          </w:p>
        </w:tc>
        <w:tc>
          <w:tcPr>
            <w:tcW w:w="2169" w:type="pct"/>
            <w:noWrap w:val="0"/>
            <w:vAlign w:val="center"/>
          </w:tcPr>
          <w:p>
            <w:pPr>
              <w:pStyle w:val="43"/>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color w:val="auto"/>
                <w:spacing w:val="4"/>
                <w:kern w:val="0"/>
                <w:sz w:val="21"/>
                <w:szCs w:val="21"/>
                <w:highlight w:val="none"/>
                <w:vertAlign w:val="baseline"/>
                <w:lang w:val="en-US" w:eastAsia="zh-CN"/>
              </w:rPr>
            </w:pPr>
            <w:r>
              <w:rPr>
                <w:rFonts w:hint="eastAsia" w:ascii="Times New Roman" w:hAnsi="Times New Roman" w:cs="Times New Roman"/>
                <w:color w:val="auto"/>
                <w:spacing w:val="0"/>
                <w:sz w:val="21"/>
                <w:szCs w:val="21"/>
                <w:highlight w:val="none"/>
                <w:lang w:val="en-US" w:eastAsia="zh-CN"/>
              </w:rPr>
              <w:t>项目</w:t>
            </w:r>
            <w:r>
              <w:rPr>
                <w:rFonts w:hint="default" w:ascii="Times New Roman" w:hAnsi="Times New Roman" w:eastAsia="宋体" w:cs="Times New Roman"/>
                <w:b w:val="0"/>
                <w:bCs/>
                <w:color w:val="auto"/>
                <w:sz w:val="21"/>
                <w:szCs w:val="21"/>
                <w:highlight w:val="none"/>
                <w:u w:val="none"/>
                <w:lang w:eastAsia="zh-CN"/>
              </w:rPr>
              <w:t>选用低噪声设备，</w:t>
            </w:r>
            <w:r>
              <w:rPr>
                <w:rFonts w:hint="eastAsia" w:ascii="Times New Roman" w:hAnsi="Times New Roman" w:cs="Times New Roman"/>
                <w:b w:val="0"/>
                <w:bCs/>
                <w:color w:val="auto"/>
                <w:sz w:val="21"/>
                <w:szCs w:val="21"/>
                <w:highlight w:val="none"/>
                <w:u w:val="none"/>
                <w:lang w:val="en-US" w:eastAsia="zh-CN"/>
              </w:rPr>
              <w:t>采用厂房隔声措施降噪，验收监测表明厂界噪声符合《工业企业厂界环境噪声排放标准》（GB12348-2008）3类标准。</w:t>
            </w:r>
          </w:p>
        </w:tc>
        <w:tc>
          <w:tcPr>
            <w:tcW w:w="687" w:type="pct"/>
            <w:noWrap w:val="0"/>
            <w:vAlign w:val="center"/>
          </w:tcPr>
          <w:p>
            <w:pPr>
              <w:pStyle w:val="43"/>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vertAlign w:val="baseline"/>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90"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固废</w:t>
            </w: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sz w:val="21"/>
                <w:szCs w:val="21"/>
                <w:highlight w:val="none"/>
                <w:u w:val="none"/>
                <w:lang w:eastAsia="zh-CN"/>
              </w:rPr>
              <w:t>对固体废物进行分类收集和处置，项目产生的危险废 物应交由有相应资质的单位处置；</w:t>
            </w:r>
          </w:p>
        </w:tc>
        <w:tc>
          <w:tcPr>
            <w:tcW w:w="2169" w:type="pct"/>
            <w:noWrap w:val="0"/>
            <w:vAlign w:val="center"/>
          </w:tcPr>
          <w:p>
            <w:pPr>
              <w:pStyle w:val="43"/>
              <w:keepNext w:val="0"/>
              <w:keepLines w:val="0"/>
              <w:pageBreakBefore w:val="0"/>
              <w:widowControl w:val="0"/>
              <w:kinsoku/>
              <w:wordWrap/>
              <w:overflowPunct/>
              <w:topLinePunct w:val="0"/>
              <w:bidi w:val="0"/>
              <w:snapToGrid w:val="0"/>
              <w:spacing w:line="240" w:lineRule="auto"/>
              <w:jc w:val="both"/>
              <w:textAlignment w:val="auto"/>
              <w:rPr>
                <w:rFonts w:hint="eastAsia" w:ascii="Times New Roman" w:hAnsi="Times New Roman" w:eastAsia="宋体" w:cs="Times New Roman"/>
                <w:b w:val="0"/>
                <w:bCs/>
                <w:color w:val="auto"/>
                <w:spacing w:val="4"/>
                <w:kern w:val="0"/>
                <w:sz w:val="21"/>
                <w:szCs w:val="21"/>
                <w:highlight w:val="none"/>
                <w:vertAlign w:val="baseline"/>
                <w:lang w:val="en-US" w:eastAsia="zh-CN"/>
              </w:rPr>
            </w:pPr>
            <w:r>
              <w:rPr>
                <w:rFonts w:hint="eastAsia" w:cs="Times New Roman"/>
                <w:b w:val="0"/>
                <w:bCs/>
                <w:color w:val="auto"/>
                <w:spacing w:val="4"/>
                <w:kern w:val="0"/>
                <w:sz w:val="21"/>
                <w:szCs w:val="21"/>
                <w:highlight w:val="none"/>
                <w:vertAlign w:val="baseline"/>
                <w:lang w:val="en-US" w:eastAsia="zh-CN"/>
              </w:rPr>
              <w:t>（1）</w:t>
            </w:r>
            <w:r>
              <w:rPr>
                <w:rFonts w:hint="eastAsia" w:ascii="Times New Roman" w:hAnsi="Times New Roman" w:eastAsia="宋体" w:cs="Times New Roman"/>
                <w:b w:val="0"/>
                <w:bCs/>
                <w:color w:val="auto"/>
                <w:spacing w:val="4"/>
                <w:kern w:val="0"/>
                <w:sz w:val="21"/>
                <w:szCs w:val="21"/>
                <w:highlight w:val="none"/>
                <w:vertAlign w:val="baseline"/>
                <w:lang w:val="en-US" w:eastAsia="zh-CN"/>
              </w:rPr>
              <w:t>项目一般工业固废为除尘灰，暂存于钢制密闭除尘灰仓，回用于公司现有矿渣微粉生产线。</w:t>
            </w:r>
          </w:p>
          <w:p>
            <w:pPr>
              <w:pStyle w:val="43"/>
              <w:keepNext w:val="0"/>
              <w:keepLines w:val="0"/>
              <w:pageBreakBefore w:val="0"/>
              <w:widowControl w:val="0"/>
              <w:kinsoku/>
              <w:wordWrap/>
              <w:overflowPunct/>
              <w:topLinePunct w:val="0"/>
              <w:bidi w:val="0"/>
              <w:snapToGrid w:val="0"/>
              <w:spacing w:line="240" w:lineRule="auto"/>
              <w:jc w:val="both"/>
              <w:textAlignment w:val="auto"/>
              <w:rPr>
                <w:rFonts w:hint="eastAsia" w:ascii="Times New Roman" w:hAnsi="Times New Roman" w:eastAsia="宋体" w:cs="Times New Roman"/>
                <w:b w:val="0"/>
                <w:bCs/>
                <w:color w:val="auto"/>
                <w:spacing w:val="4"/>
                <w:kern w:val="0"/>
                <w:sz w:val="21"/>
                <w:szCs w:val="21"/>
                <w:highlight w:val="none"/>
                <w:vertAlign w:val="baseline"/>
                <w:lang w:val="en-US" w:eastAsia="zh-CN"/>
              </w:rPr>
            </w:pPr>
            <w:r>
              <w:rPr>
                <w:rFonts w:hint="eastAsia" w:cs="Times New Roman"/>
                <w:b w:val="0"/>
                <w:bCs/>
                <w:color w:val="auto"/>
                <w:spacing w:val="4"/>
                <w:kern w:val="0"/>
                <w:sz w:val="21"/>
                <w:szCs w:val="21"/>
                <w:highlight w:val="none"/>
                <w:vertAlign w:val="baseline"/>
                <w:lang w:val="en-US" w:eastAsia="zh-CN"/>
              </w:rPr>
              <w:t>（2）</w:t>
            </w:r>
            <w:r>
              <w:rPr>
                <w:rFonts w:hint="eastAsia" w:ascii="Times New Roman" w:hAnsi="Times New Roman" w:eastAsia="宋体" w:cs="Times New Roman"/>
                <w:b w:val="0"/>
                <w:bCs/>
                <w:color w:val="auto"/>
                <w:spacing w:val="4"/>
                <w:kern w:val="0"/>
                <w:sz w:val="21"/>
                <w:szCs w:val="21"/>
                <w:highlight w:val="none"/>
                <w:vertAlign w:val="baseline"/>
                <w:lang w:val="en-US" w:eastAsia="zh-CN"/>
              </w:rPr>
              <w:t>项目危险废物为废机油，</w:t>
            </w:r>
            <w:r>
              <w:rPr>
                <w:rFonts w:hint="eastAsia" w:cs="Times New Roman"/>
                <w:b w:val="0"/>
                <w:bCs/>
                <w:color w:val="auto"/>
                <w:spacing w:val="4"/>
                <w:kern w:val="0"/>
                <w:sz w:val="21"/>
                <w:szCs w:val="21"/>
                <w:highlight w:val="none"/>
                <w:vertAlign w:val="baseline"/>
                <w:lang w:val="en-US" w:eastAsia="zh-CN"/>
              </w:rPr>
              <w:t>贮存</w:t>
            </w:r>
            <w:r>
              <w:rPr>
                <w:rFonts w:hint="eastAsia" w:ascii="Times New Roman" w:hAnsi="Times New Roman" w:eastAsia="宋体" w:cs="Times New Roman"/>
                <w:b w:val="0"/>
                <w:bCs/>
                <w:color w:val="auto"/>
                <w:spacing w:val="4"/>
                <w:kern w:val="0"/>
                <w:sz w:val="21"/>
                <w:szCs w:val="21"/>
                <w:highlight w:val="none"/>
                <w:vertAlign w:val="baseline"/>
                <w:lang w:val="en-US" w:eastAsia="zh-CN"/>
              </w:rPr>
              <w:t>于公司现有24m</w:t>
            </w:r>
            <w:r>
              <w:rPr>
                <w:rFonts w:hint="eastAsia" w:ascii="Times New Roman" w:hAnsi="Times New Roman" w:eastAsia="宋体" w:cs="Times New Roman"/>
                <w:b w:val="0"/>
                <w:bCs/>
                <w:color w:val="auto"/>
                <w:spacing w:val="4"/>
                <w:kern w:val="0"/>
                <w:sz w:val="21"/>
                <w:szCs w:val="21"/>
                <w:highlight w:val="none"/>
                <w:vertAlign w:val="superscript"/>
                <w:lang w:val="en-US" w:eastAsia="zh-CN"/>
              </w:rPr>
              <w:t>2</w:t>
            </w:r>
            <w:r>
              <w:rPr>
                <w:rFonts w:hint="eastAsia" w:ascii="Times New Roman" w:hAnsi="Times New Roman" w:eastAsia="宋体" w:cs="Times New Roman"/>
                <w:b w:val="0"/>
                <w:bCs/>
                <w:color w:val="auto"/>
                <w:spacing w:val="4"/>
                <w:kern w:val="0"/>
                <w:sz w:val="21"/>
                <w:szCs w:val="21"/>
                <w:highlight w:val="none"/>
                <w:vertAlign w:val="baseline"/>
                <w:lang w:val="en-US" w:eastAsia="zh-CN"/>
              </w:rPr>
              <w:t>的危废贮存间，统一委托福建省三明辉润石化有限公司处置。</w:t>
            </w:r>
          </w:p>
          <w:p>
            <w:pPr>
              <w:pStyle w:val="43"/>
              <w:keepNext w:val="0"/>
              <w:keepLines w:val="0"/>
              <w:pageBreakBefore w:val="0"/>
              <w:widowControl w:val="0"/>
              <w:kinsoku/>
              <w:wordWrap/>
              <w:overflowPunct/>
              <w:topLinePunct w:val="0"/>
              <w:bidi w:val="0"/>
              <w:snapToGrid w:val="0"/>
              <w:spacing w:line="240" w:lineRule="auto"/>
              <w:jc w:val="both"/>
              <w:textAlignment w:val="auto"/>
              <w:rPr>
                <w:rFonts w:hint="eastAsia" w:ascii="Times New Roman" w:hAnsi="Times New Roman" w:eastAsia="宋体" w:cs="Times New Roman"/>
                <w:b w:val="0"/>
                <w:bCs/>
                <w:color w:val="auto"/>
                <w:spacing w:val="4"/>
                <w:kern w:val="0"/>
                <w:sz w:val="21"/>
                <w:szCs w:val="21"/>
                <w:highlight w:val="none"/>
                <w:vertAlign w:val="baseline"/>
                <w:lang w:val="en-US" w:eastAsia="zh-CN"/>
              </w:rPr>
            </w:pPr>
            <w:r>
              <w:rPr>
                <w:rFonts w:hint="eastAsia" w:cs="Times New Roman"/>
                <w:b w:val="0"/>
                <w:bCs/>
                <w:color w:val="auto"/>
                <w:spacing w:val="4"/>
                <w:kern w:val="0"/>
                <w:sz w:val="21"/>
                <w:szCs w:val="21"/>
                <w:highlight w:val="none"/>
                <w:vertAlign w:val="baseline"/>
                <w:lang w:val="en-US" w:eastAsia="zh-CN"/>
              </w:rPr>
              <w:t>（3）</w:t>
            </w:r>
            <w:r>
              <w:rPr>
                <w:rFonts w:hint="eastAsia" w:ascii="Times New Roman" w:hAnsi="Times New Roman" w:eastAsia="宋体" w:cs="Times New Roman"/>
                <w:b w:val="0"/>
                <w:bCs/>
                <w:color w:val="auto"/>
                <w:spacing w:val="4"/>
                <w:kern w:val="0"/>
                <w:sz w:val="21"/>
                <w:szCs w:val="21"/>
                <w:highlight w:val="none"/>
                <w:vertAlign w:val="baseline"/>
                <w:lang w:val="en-US" w:eastAsia="zh-CN"/>
              </w:rPr>
              <w:t>项目员工内部调剂，未新增劳动定员，不新增生活垃圾量。生活垃圾收集处置情况保持现状。依托现有垃圾收集转运设施，交由环卫部门定期清运处置。</w:t>
            </w:r>
          </w:p>
        </w:tc>
        <w:tc>
          <w:tcPr>
            <w:tcW w:w="687" w:type="pct"/>
            <w:noWrap w:val="0"/>
            <w:vAlign w:val="center"/>
          </w:tcPr>
          <w:p>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90"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u w:val="none"/>
                <w:lang w:val="en-US" w:eastAsia="zh-CN"/>
              </w:rPr>
            </w:pPr>
          </w:p>
        </w:tc>
        <w:tc>
          <w:tcPr>
            <w:tcW w:w="175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eastAsia="宋体" w:cs="Times New Roman"/>
                <w:b w:val="0"/>
                <w:bCs/>
                <w:color w:val="auto"/>
                <w:sz w:val="21"/>
                <w:szCs w:val="21"/>
                <w:highlight w:val="none"/>
                <w:u w:val="none"/>
                <w:lang w:eastAsia="zh-CN"/>
              </w:rPr>
              <w:t>危险废物的暂存和处置应符合国家危险废物管理的相关规定，同时做好台账记录，明确产生数量和去向。</w:t>
            </w:r>
          </w:p>
        </w:tc>
        <w:tc>
          <w:tcPr>
            <w:tcW w:w="2169" w:type="pct"/>
            <w:noWrap w:val="0"/>
            <w:vAlign w:val="center"/>
          </w:tcPr>
          <w:p>
            <w:pPr>
              <w:pStyle w:val="43"/>
              <w:keepNext w:val="0"/>
              <w:keepLines w:val="0"/>
              <w:pageBreakBefore w:val="0"/>
              <w:widowControl w:val="0"/>
              <w:kinsoku/>
              <w:wordWrap/>
              <w:overflowPunct/>
              <w:topLinePunct w:val="0"/>
              <w:bidi w:val="0"/>
              <w:snapToGrid w:val="0"/>
              <w:spacing w:line="240" w:lineRule="auto"/>
              <w:jc w:val="both"/>
              <w:textAlignment w:val="auto"/>
              <w:rPr>
                <w:rFonts w:hint="eastAsia" w:ascii="Times New Roman" w:hAnsi="Times New Roman" w:eastAsia="宋体" w:cs="Times New Roman"/>
                <w:b w:val="0"/>
                <w:bCs/>
                <w:color w:val="auto"/>
                <w:spacing w:val="4"/>
                <w:kern w:val="0"/>
                <w:sz w:val="21"/>
                <w:szCs w:val="21"/>
                <w:highlight w:val="none"/>
                <w:vertAlign w:val="baseline"/>
                <w:lang w:val="en-US" w:eastAsia="zh-CN"/>
              </w:rPr>
            </w:pPr>
            <w:r>
              <w:rPr>
                <w:rFonts w:hint="eastAsia" w:ascii="Times New Roman" w:hAnsi="Times New Roman" w:cs="Times New Roman"/>
                <w:b w:val="0"/>
                <w:bCs/>
                <w:color w:val="auto"/>
                <w:spacing w:val="4"/>
                <w:kern w:val="0"/>
                <w:sz w:val="21"/>
                <w:szCs w:val="21"/>
                <w:highlight w:val="none"/>
                <w:vertAlign w:val="baseline"/>
                <w:lang w:val="en-US" w:eastAsia="zh-CN"/>
              </w:rPr>
              <w:t>（1）</w:t>
            </w:r>
            <w:r>
              <w:rPr>
                <w:rFonts w:hint="eastAsia" w:ascii="Times New Roman" w:hAnsi="Times New Roman" w:eastAsia="宋体" w:cs="Times New Roman"/>
                <w:b w:val="0"/>
                <w:bCs/>
                <w:color w:val="auto"/>
                <w:spacing w:val="4"/>
                <w:kern w:val="0"/>
                <w:sz w:val="21"/>
                <w:szCs w:val="21"/>
                <w:highlight w:val="none"/>
                <w:vertAlign w:val="baseline"/>
                <w:lang w:val="en-US" w:eastAsia="zh-CN"/>
              </w:rPr>
              <w:t>现有危废</w:t>
            </w:r>
            <w:r>
              <w:rPr>
                <w:rFonts w:hint="eastAsia" w:cs="Times New Roman"/>
                <w:b w:val="0"/>
                <w:bCs/>
                <w:color w:val="auto"/>
                <w:spacing w:val="4"/>
                <w:kern w:val="0"/>
                <w:sz w:val="21"/>
                <w:szCs w:val="21"/>
                <w:highlight w:val="none"/>
                <w:vertAlign w:val="baseline"/>
                <w:lang w:val="en-US" w:eastAsia="zh-CN"/>
              </w:rPr>
              <w:t>贮存</w:t>
            </w:r>
            <w:r>
              <w:rPr>
                <w:rFonts w:hint="eastAsia" w:ascii="Times New Roman" w:hAnsi="Times New Roman" w:eastAsia="宋体" w:cs="Times New Roman"/>
                <w:b w:val="0"/>
                <w:bCs/>
                <w:color w:val="auto"/>
                <w:spacing w:val="4"/>
                <w:kern w:val="0"/>
                <w:sz w:val="21"/>
                <w:szCs w:val="21"/>
                <w:highlight w:val="none"/>
                <w:vertAlign w:val="baseline"/>
                <w:lang w:val="en-US" w:eastAsia="zh-CN"/>
              </w:rPr>
              <w:t>间设置了导流沟和收集池；地面、墙裙、导流沟、收集池涂刷了环氧树脂防渗</w:t>
            </w:r>
            <w:r>
              <w:rPr>
                <w:rFonts w:hint="eastAsia" w:ascii="Times New Roman" w:hAnsi="Times New Roman" w:cs="Times New Roman"/>
                <w:b w:val="0"/>
                <w:bCs/>
                <w:color w:val="auto"/>
                <w:spacing w:val="4"/>
                <w:kern w:val="0"/>
                <w:sz w:val="21"/>
                <w:szCs w:val="21"/>
                <w:highlight w:val="none"/>
                <w:vertAlign w:val="baseline"/>
                <w:lang w:val="en-US" w:eastAsia="zh-CN"/>
              </w:rPr>
              <w:t>，符合《危险废物贮存污染控制标准》（GB18597-2023）</w:t>
            </w:r>
            <w:r>
              <w:rPr>
                <w:rFonts w:hint="eastAsia" w:ascii="Times New Roman" w:hAnsi="Times New Roman" w:eastAsia="宋体" w:cs="Times New Roman"/>
                <w:b w:val="0"/>
                <w:bCs/>
                <w:color w:val="auto"/>
                <w:spacing w:val="4"/>
                <w:kern w:val="0"/>
                <w:sz w:val="21"/>
                <w:szCs w:val="21"/>
                <w:highlight w:val="none"/>
                <w:vertAlign w:val="baseline"/>
                <w:lang w:val="en-US" w:eastAsia="zh-CN"/>
              </w:rPr>
              <w:t>。</w:t>
            </w:r>
          </w:p>
          <w:p>
            <w:pPr>
              <w:pStyle w:val="43"/>
              <w:keepNext w:val="0"/>
              <w:keepLines w:val="0"/>
              <w:pageBreakBefore w:val="0"/>
              <w:widowControl w:val="0"/>
              <w:kinsoku/>
              <w:wordWrap/>
              <w:overflowPunct/>
              <w:topLinePunct w:val="0"/>
              <w:bidi w:val="0"/>
              <w:snapToGrid w:val="0"/>
              <w:spacing w:line="240" w:lineRule="auto"/>
              <w:jc w:val="both"/>
              <w:textAlignment w:val="auto"/>
              <w:rPr>
                <w:rFonts w:hint="default" w:ascii="Times New Roman" w:hAnsi="Times New Roman" w:cs="Times New Roman"/>
                <w:b w:val="0"/>
                <w:bCs/>
                <w:color w:val="auto"/>
                <w:spacing w:val="4"/>
                <w:kern w:val="0"/>
                <w:sz w:val="21"/>
                <w:szCs w:val="21"/>
                <w:highlight w:val="none"/>
                <w:vertAlign w:val="baseline"/>
                <w:lang w:val="en-US" w:eastAsia="zh-CN"/>
              </w:rPr>
            </w:pPr>
            <w:r>
              <w:rPr>
                <w:rFonts w:hint="eastAsia" w:ascii="Times New Roman" w:hAnsi="Times New Roman" w:cs="Times New Roman"/>
                <w:b w:val="0"/>
                <w:bCs/>
                <w:color w:val="auto"/>
                <w:spacing w:val="4"/>
                <w:kern w:val="0"/>
                <w:sz w:val="21"/>
                <w:szCs w:val="21"/>
                <w:highlight w:val="none"/>
                <w:vertAlign w:val="baseline"/>
                <w:lang w:val="en-US" w:eastAsia="zh-CN"/>
              </w:rPr>
              <w:t>（2）</w:t>
            </w:r>
            <w:r>
              <w:rPr>
                <w:rFonts w:hint="eastAsia" w:cs="Times New Roman"/>
                <w:b w:val="0"/>
                <w:bCs/>
                <w:color w:val="auto"/>
                <w:spacing w:val="4"/>
                <w:kern w:val="0"/>
                <w:sz w:val="21"/>
                <w:szCs w:val="21"/>
                <w:highlight w:val="none"/>
                <w:vertAlign w:val="baseline"/>
                <w:lang w:val="en-US" w:eastAsia="zh-CN"/>
              </w:rPr>
              <w:t>建设单位已在固废平台注册（截图见附件8）。</w:t>
            </w:r>
          </w:p>
          <w:p>
            <w:pPr>
              <w:pStyle w:val="43"/>
              <w:keepNext w:val="0"/>
              <w:keepLines w:val="0"/>
              <w:pageBreakBefore w:val="0"/>
              <w:widowControl w:val="0"/>
              <w:kinsoku/>
              <w:wordWrap/>
              <w:overflowPunct/>
              <w:topLinePunct w:val="0"/>
              <w:bidi w:val="0"/>
              <w:snapToGrid w:val="0"/>
              <w:spacing w:line="240" w:lineRule="auto"/>
              <w:jc w:val="both"/>
              <w:textAlignment w:val="auto"/>
              <w:rPr>
                <w:rFonts w:hint="eastAsia" w:cs="Times New Roman"/>
                <w:b w:val="0"/>
                <w:bCs/>
                <w:color w:val="auto"/>
                <w:spacing w:val="4"/>
                <w:kern w:val="0"/>
                <w:sz w:val="21"/>
                <w:szCs w:val="21"/>
                <w:highlight w:val="none"/>
                <w:vertAlign w:val="baseline"/>
                <w:lang w:val="en-US" w:eastAsia="zh-CN"/>
              </w:rPr>
            </w:pPr>
            <w:r>
              <w:rPr>
                <w:rFonts w:hint="eastAsia" w:cs="Times New Roman"/>
                <w:b w:val="0"/>
                <w:bCs/>
                <w:color w:val="auto"/>
                <w:spacing w:val="4"/>
                <w:kern w:val="0"/>
                <w:sz w:val="21"/>
                <w:szCs w:val="21"/>
                <w:highlight w:val="none"/>
                <w:vertAlign w:val="baseline"/>
                <w:lang w:val="en-US" w:eastAsia="zh-CN"/>
              </w:rPr>
              <w:t>（3）本项目一般工业固废</w:t>
            </w:r>
            <w:r>
              <w:rPr>
                <w:rFonts w:hint="eastAsia" w:ascii="Times New Roman" w:hAnsi="Times New Roman" w:eastAsia="宋体" w:cs="Times New Roman"/>
                <w:b w:val="0"/>
                <w:bCs/>
                <w:color w:val="auto"/>
                <w:spacing w:val="4"/>
                <w:kern w:val="0"/>
                <w:sz w:val="21"/>
                <w:szCs w:val="21"/>
                <w:highlight w:val="none"/>
                <w:vertAlign w:val="baseline"/>
                <w:lang w:val="en-US" w:eastAsia="zh-CN"/>
              </w:rPr>
              <w:t>回用于公司现有矿渣微粉生产线</w:t>
            </w:r>
            <w:r>
              <w:rPr>
                <w:rFonts w:hint="eastAsia" w:cs="Times New Roman"/>
                <w:b w:val="0"/>
                <w:bCs/>
                <w:color w:val="auto"/>
                <w:spacing w:val="4"/>
                <w:kern w:val="0"/>
                <w:sz w:val="21"/>
                <w:szCs w:val="21"/>
                <w:highlight w:val="none"/>
                <w:vertAlign w:val="baseline"/>
                <w:lang w:val="en-US" w:eastAsia="zh-CN"/>
              </w:rPr>
              <w:t>，一般工业固废不转移出厂。</w:t>
            </w:r>
          </w:p>
          <w:p>
            <w:pPr>
              <w:pStyle w:val="43"/>
              <w:keepNext w:val="0"/>
              <w:keepLines w:val="0"/>
              <w:pageBreakBefore w:val="0"/>
              <w:widowControl w:val="0"/>
              <w:kinsoku/>
              <w:wordWrap/>
              <w:overflowPunct/>
              <w:topLinePunct w:val="0"/>
              <w:bidi w:val="0"/>
              <w:snapToGrid w:val="0"/>
              <w:spacing w:line="240" w:lineRule="auto"/>
              <w:jc w:val="both"/>
              <w:textAlignment w:val="auto"/>
              <w:rPr>
                <w:rFonts w:hint="default" w:ascii="Times New Roman" w:hAnsi="Times New Roman" w:eastAsia="宋体" w:cs="Times New Roman"/>
                <w:b w:val="0"/>
                <w:bCs/>
                <w:color w:val="auto"/>
                <w:spacing w:val="4"/>
                <w:kern w:val="0"/>
                <w:sz w:val="21"/>
                <w:szCs w:val="21"/>
                <w:highlight w:val="none"/>
                <w:vertAlign w:val="baseline"/>
                <w:lang w:val="en-US" w:eastAsia="zh-CN"/>
              </w:rPr>
            </w:pPr>
            <w:r>
              <w:rPr>
                <w:rFonts w:hint="eastAsia" w:cs="Times New Roman"/>
                <w:b w:val="0"/>
                <w:bCs/>
                <w:color w:val="auto"/>
                <w:spacing w:val="4"/>
                <w:kern w:val="0"/>
                <w:sz w:val="21"/>
                <w:szCs w:val="21"/>
                <w:highlight w:val="none"/>
                <w:vertAlign w:val="baseline"/>
                <w:lang w:val="en-US" w:eastAsia="zh-CN"/>
              </w:rPr>
              <w:t>（4）</w:t>
            </w:r>
            <w:r>
              <w:rPr>
                <w:rFonts w:hint="eastAsia" w:ascii="Times New Roman" w:hAnsi="Times New Roman" w:cs="Times New Roman"/>
                <w:b w:val="0"/>
                <w:bCs/>
                <w:color w:val="auto"/>
                <w:spacing w:val="4"/>
                <w:kern w:val="0"/>
                <w:sz w:val="21"/>
                <w:szCs w:val="21"/>
                <w:highlight w:val="none"/>
                <w:vertAlign w:val="baseline"/>
                <w:lang w:val="en-US" w:eastAsia="zh-CN"/>
              </w:rPr>
              <w:t>建设单位建立了危废台账记录，填报了危废转移联单以明确产生数量和去向（见附件7）。</w:t>
            </w:r>
          </w:p>
        </w:tc>
        <w:tc>
          <w:tcPr>
            <w:tcW w:w="687" w:type="pct"/>
            <w:noWrap w:val="0"/>
            <w:vAlign w:val="center"/>
          </w:tcPr>
          <w:p>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已落实</w:t>
            </w:r>
          </w:p>
        </w:tc>
      </w:tr>
    </w:tbl>
    <w:p>
      <w:pPr>
        <w:rPr>
          <w:rFonts w:hint="default"/>
          <w:highlight w:val="none"/>
          <w:lang w:val="en-US" w:eastAsia="zh-CN"/>
        </w:rPr>
      </w:pPr>
    </w:p>
    <w:p>
      <w:pPr>
        <w:rPr>
          <w:rFonts w:hint="default"/>
          <w:highlight w:val="none"/>
          <w:lang w:val="en-US" w:eastAsia="zh-CN"/>
        </w:rPr>
      </w:pPr>
    </w:p>
    <w:p>
      <w:pPr>
        <w:pStyle w:val="16"/>
        <w:rPr>
          <w:rFonts w:hint="default"/>
          <w:highlight w:val="none"/>
          <w:lang w:val="en-US" w:eastAsia="zh-CN"/>
        </w:rPr>
        <w:sectPr>
          <w:pgSz w:w="16838" w:h="11906" w:orient="landscape"/>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224" w:beforeLines="70" w:after="224" w:afterLines="70"/>
        <w:textAlignment w:val="auto"/>
        <w:rPr>
          <w:rFonts w:hint="default" w:ascii="Times New Roman" w:hAnsi="Times New Roman" w:cs="Times New Roman"/>
          <w:highlight w:val="none"/>
          <w:lang w:val="en-US" w:eastAsia="zh-CN"/>
        </w:rPr>
      </w:pPr>
      <w:bookmarkStart w:id="56" w:name="_Toc16127"/>
      <w:bookmarkStart w:id="57" w:name="_Toc26344"/>
      <w:r>
        <w:rPr>
          <w:rFonts w:hint="default" w:ascii="Times New Roman" w:hAnsi="Times New Roman" w:cs="Times New Roman"/>
          <w:highlight w:val="none"/>
          <w:lang w:eastAsia="zh-CN"/>
        </w:rPr>
        <w:t>表五</w:t>
      </w:r>
      <w:r>
        <w:rPr>
          <w:rFonts w:hint="default" w:ascii="Times New Roman" w:hAnsi="Times New Roman" w:cs="Times New Roman"/>
          <w:highlight w:val="none"/>
          <w:lang w:val="en-US" w:eastAsia="zh-CN"/>
        </w:rPr>
        <w:t xml:space="preserve">  验收监测质量保证及质量控制</w:t>
      </w:r>
      <w:bookmarkEnd w:id="56"/>
      <w:bookmarkEnd w:id="57"/>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8" w:type="dxa"/>
            <w:noWrap w:val="0"/>
            <w:vAlign w:val="center"/>
          </w:tcPr>
          <w:p>
            <w:pPr>
              <w:pStyle w:val="6"/>
              <w:bidi w:val="0"/>
              <w:rPr>
                <w:rFonts w:hint="default"/>
                <w:lang w:val="en-US" w:eastAsia="zh-CN"/>
              </w:rPr>
            </w:pPr>
            <w:bookmarkStart w:id="58" w:name="_Toc9744"/>
            <w:bookmarkStart w:id="59" w:name="_Toc529"/>
            <w:bookmarkStart w:id="60" w:name="_Toc31811"/>
            <w:bookmarkStart w:id="61" w:name="_Toc5056"/>
            <w:bookmarkStart w:id="62" w:name="_Toc30246"/>
            <w:r>
              <w:rPr>
                <w:rFonts w:hint="default"/>
                <w:lang w:val="en-US" w:eastAsia="zh-CN"/>
              </w:rPr>
              <w:t>5.1检测分析方法</w:t>
            </w:r>
            <w:bookmarkEnd w:id="58"/>
            <w:bookmarkEnd w:id="59"/>
            <w:bookmarkEnd w:id="60"/>
            <w:bookmarkEnd w:id="61"/>
            <w:bookmarkEnd w:id="6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sz w:val="24"/>
                <w:szCs w:val="24"/>
                <w:lang w:val="en-US" w:eastAsia="zh-CN"/>
              </w:rPr>
            </w:pPr>
            <w:r>
              <w:rPr>
                <w:rFonts w:hint="default"/>
                <w:sz w:val="24"/>
                <w:szCs w:val="24"/>
                <w:lang w:eastAsia="zh-CN"/>
              </w:rPr>
              <w:t>此次项目验收</w:t>
            </w:r>
            <w:r>
              <w:rPr>
                <w:rFonts w:hint="default"/>
                <w:sz w:val="24"/>
                <w:szCs w:val="24"/>
                <w:lang w:val="en-US" w:eastAsia="zh-CN"/>
              </w:rPr>
              <w:t>检测分析方法</w:t>
            </w:r>
            <w:r>
              <w:rPr>
                <w:rFonts w:hint="default"/>
                <w:sz w:val="24"/>
                <w:szCs w:val="24"/>
                <w:lang w:eastAsia="zh-CN"/>
              </w:rPr>
              <w:t>见表</w:t>
            </w:r>
            <w:r>
              <w:rPr>
                <w:rFonts w:hint="default"/>
                <w:sz w:val="24"/>
                <w:szCs w:val="24"/>
                <w:lang w:val="en-US" w:eastAsia="zh-CN"/>
              </w:rPr>
              <w:t>5.1</w:t>
            </w:r>
            <w:r>
              <w:rPr>
                <w:rFonts w:hint="default"/>
                <w:sz w:val="24"/>
                <w:szCs w:val="24"/>
                <w:lang w:eastAsia="zh-CN"/>
              </w:rPr>
              <w:t>-1</w:t>
            </w:r>
            <w:r>
              <w:rPr>
                <w:rFonts w:hint="default"/>
                <w:sz w:val="24"/>
                <w:szCs w:val="24"/>
                <w:lang w:val="en-US" w:eastAsia="zh-CN"/>
              </w:rPr>
              <w:t>。</w:t>
            </w: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lang w:val="en-US" w:eastAsia="zh-CN"/>
              </w:rPr>
            </w:pPr>
            <w:bookmarkStart w:id="63" w:name="_Toc27873"/>
            <w:r>
              <w:rPr>
                <w:rFonts w:hint="default"/>
                <w:lang w:val="en-US" w:eastAsia="zh-CN"/>
              </w:rPr>
              <w:t>表5.1-1  检测分析方法一览表</w:t>
            </w:r>
            <w:bookmarkEnd w:id="63"/>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294"/>
              <w:gridCol w:w="4049"/>
              <w:gridCol w:w="1016"/>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0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类别</w:t>
                  </w:r>
                </w:p>
              </w:tc>
              <w:tc>
                <w:tcPr>
                  <w:tcW w:w="714"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2235"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检测方法</w:t>
                  </w:r>
                </w:p>
              </w:tc>
              <w:tc>
                <w:tcPr>
                  <w:tcW w:w="561"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检出限</w:t>
                  </w:r>
                </w:p>
              </w:tc>
              <w:tc>
                <w:tcPr>
                  <w:tcW w:w="1085"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vMerge w:val="restart"/>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有</w:t>
                  </w:r>
                  <w:r>
                    <w:rPr>
                      <w:rFonts w:hint="default" w:ascii="Times New Roman" w:hAnsi="Times New Roman" w:cs="Times New Roman"/>
                      <w:sz w:val="21"/>
                      <w:szCs w:val="21"/>
                      <w:lang w:eastAsia="zh-CN"/>
                    </w:rPr>
                    <w:t>组织排放废气</w:t>
                  </w:r>
                </w:p>
              </w:tc>
              <w:tc>
                <w:tcPr>
                  <w:tcW w:w="714"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烟气参数</w:t>
                  </w:r>
                </w:p>
              </w:tc>
              <w:tc>
                <w:tcPr>
                  <w:tcW w:w="223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固定污染源排气中颗粒物测定与气态污染物采样方法及修改单 GB/T 16157-1996</w:t>
                  </w:r>
                </w:p>
              </w:tc>
              <w:tc>
                <w:tcPr>
                  <w:tcW w:w="561"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085" w:type="pct"/>
                  <w:noWrap w:val="0"/>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自动烟尘/气测试仪崂应3012H-C型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vMerge w:val="continue"/>
                  <w:noWrap w:val="0"/>
                  <w:vAlign w:val="center"/>
                </w:tcPr>
                <w:p>
                  <w:pPr>
                    <w:spacing w:line="240" w:lineRule="auto"/>
                    <w:jc w:val="center"/>
                    <w:rPr>
                      <w:rFonts w:hint="default" w:ascii="Times New Roman" w:hAnsi="Times New Roman" w:cs="Times New Roman"/>
                      <w:sz w:val="21"/>
                      <w:szCs w:val="21"/>
                      <w:lang w:eastAsia="zh-CN"/>
                    </w:rPr>
                  </w:pPr>
                </w:p>
              </w:tc>
              <w:tc>
                <w:tcPr>
                  <w:tcW w:w="714"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223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固定污染源废气低浓度颗粒物的测定 </w:t>
                  </w:r>
                </w:p>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重量法 HJ836-2017</w:t>
                  </w:r>
                </w:p>
              </w:tc>
              <w:tc>
                <w:tcPr>
                  <w:tcW w:w="561"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mg/m3</w:t>
                  </w:r>
                </w:p>
              </w:tc>
              <w:tc>
                <w:tcPr>
                  <w:tcW w:w="1085"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电子分析天平</w:t>
                  </w:r>
                  <w:r>
                    <w:rPr>
                      <w:rFonts w:hint="default" w:ascii="Times New Roman" w:hAnsi="Times New Roman" w:cs="Times New Roman"/>
                      <w:sz w:val="21"/>
                      <w:szCs w:val="21"/>
                      <w:lang w:val="en-US" w:eastAsia="zh-CN"/>
                    </w:rPr>
                    <w:t>EP85A</w:t>
                  </w: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恒温恒湿称重系统</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AMS-CZXT-225A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厂界无组织排放废气</w:t>
                  </w:r>
                </w:p>
              </w:tc>
              <w:tc>
                <w:tcPr>
                  <w:tcW w:w="714"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223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环境空气 总悬浮颗粒物的测定</w:t>
                  </w:r>
                  <w:r>
                    <w:rPr>
                      <w:rFonts w:hint="default" w:ascii="Times New Roman" w:hAnsi="Times New Roman" w:cs="Times New Roman"/>
                      <w:sz w:val="21"/>
                      <w:szCs w:val="21"/>
                      <w:lang w:val="en-US" w:eastAsia="zh-CN"/>
                    </w:rPr>
                    <w:br w:type="textWrapping"/>
                  </w:r>
                  <w:r>
                    <w:rPr>
                      <w:rFonts w:hint="default" w:ascii="Times New Roman" w:hAnsi="Times New Roman" w:cs="Times New Roman"/>
                      <w:sz w:val="21"/>
                      <w:szCs w:val="21"/>
                      <w:lang w:val="en-US" w:eastAsia="zh-CN"/>
                    </w:rPr>
                    <w:t>重量法 HJ 1263-2022</w:t>
                  </w:r>
                </w:p>
              </w:tc>
              <w:tc>
                <w:tcPr>
                  <w:tcW w:w="561"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0.168</w:t>
                  </w:r>
                </w:p>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mg/m3</w:t>
                  </w:r>
                </w:p>
              </w:tc>
              <w:tc>
                <w:tcPr>
                  <w:tcW w:w="1085"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电子分析天平</w:t>
                  </w:r>
                  <w:r>
                    <w:rPr>
                      <w:rFonts w:hint="default" w:ascii="Times New Roman" w:hAnsi="Times New Roman" w:cs="Times New Roman"/>
                      <w:sz w:val="21"/>
                      <w:szCs w:val="21"/>
                      <w:lang w:val="en-US" w:eastAsia="zh-CN"/>
                    </w:rPr>
                    <w:t>EP85A</w:t>
                  </w: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恒温恒湿称重系统</w:t>
                  </w: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AMS-CZXT-225A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vMerge w:val="restart"/>
                  <w:noWrap w:val="0"/>
                  <w:vAlign w:val="center"/>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废水</w:t>
                  </w:r>
                </w:p>
              </w:tc>
              <w:tc>
                <w:tcPr>
                  <w:tcW w:w="71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pH值</w:t>
                  </w:r>
                </w:p>
              </w:tc>
              <w:tc>
                <w:tcPr>
                  <w:tcW w:w="223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水质 pH值的测定 电极法</w:t>
                  </w:r>
                  <w:r>
                    <w:rPr>
                      <w:rFonts w:hint="default" w:ascii="Times New Roman" w:hAnsi="Times New Roman" w:cs="Times New Roman"/>
                      <w:sz w:val="21"/>
                      <w:szCs w:val="21"/>
                      <w:lang w:val="en-US" w:eastAsia="zh-CN"/>
                    </w:rPr>
                    <w:br w:type="textWrapping"/>
                  </w:r>
                  <w:r>
                    <w:rPr>
                      <w:rFonts w:hint="default" w:ascii="Times New Roman" w:hAnsi="Times New Roman" w:cs="Times New Roman"/>
                      <w:sz w:val="21"/>
                      <w:szCs w:val="21"/>
                      <w:lang w:val="en-US" w:eastAsia="zh-CN"/>
                    </w:rPr>
                    <w:t>HJ 1147-2020</w:t>
                  </w:r>
                </w:p>
              </w:tc>
              <w:tc>
                <w:tcPr>
                  <w:tcW w:w="561"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08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便携式pH/mV计Bante220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vMerge w:val="continue"/>
                  <w:noWrap w:val="0"/>
                  <w:vAlign w:val="center"/>
                </w:tcPr>
                <w:p>
                  <w:pPr>
                    <w:spacing w:line="240" w:lineRule="auto"/>
                    <w:jc w:val="center"/>
                    <w:rPr>
                      <w:rFonts w:hint="default" w:ascii="Times New Roman" w:hAnsi="Times New Roman" w:cs="Times New Roman"/>
                      <w:sz w:val="21"/>
                      <w:szCs w:val="21"/>
                    </w:rPr>
                  </w:pPr>
                </w:p>
              </w:tc>
              <w:tc>
                <w:tcPr>
                  <w:tcW w:w="71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悬浮物</w:t>
                  </w:r>
                </w:p>
              </w:tc>
              <w:tc>
                <w:tcPr>
                  <w:tcW w:w="223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水质 悬浮物的测定 重量法 </w:t>
                  </w:r>
                </w:p>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GB/T 11901-1989</w:t>
                  </w:r>
                </w:p>
              </w:tc>
              <w:tc>
                <w:tcPr>
                  <w:tcW w:w="561"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085"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分析天平</w:t>
                  </w: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Cp114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vMerge w:val="continue"/>
                  <w:noWrap w:val="0"/>
                  <w:vAlign w:val="center"/>
                </w:tcPr>
                <w:p>
                  <w:pPr>
                    <w:spacing w:line="240" w:lineRule="auto"/>
                    <w:jc w:val="center"/>
                    <w:rPr>
                      <w:rFonts w:hint="default" w:ascii="Times New Roman" w:hAnsi="Times New Roman" w:cs="Times New Roman"/>
                      <w:sz w:val="21"/>
                      <w:szCs w:val="21"/>
                    </w:rPr>
                  </w:pPr>
                </w:p>
              </w:tc>
              <w:tc>
                <w:tcPr>
                  <w:tcW w:w="71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223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水质 氨氮的测定 纳氏试剂分光光度法  </w:t>
                  </w:r>
                  <w:r>
                    <w:rPr>
                      <w:rFonts w:hint="default" w:ascii="Times New Roman" w:hAnsi="Times New Roman" w:cs="Times New Roman"/>
                      <w:sz w:val="21"/>
                      <w:szCs w:val="21"/>
                      <w:lang w:val="en-US" w:eastAsia="zh-CN"/>
                    </w:rPr>
                    <w:br w:type="textWrapping"/>
                  </w:r>
                  <w:r>
                    <w:rPr>
                      <w:rFonts w:hint="default" w:ascii="Times New Roman" w:hAnsi="Times New Roman" w:cs="Times New Roman"/>
                      <w:sz w:val="21"/>
                      <w:szCs w:val="21"/>
                      <w:lang w:val="en-US" w:eastAsia="zh-CN"/>
                    </w:rPr>
                    <w:t>HJ 535-2009</w:t>
                  </w:r>
                </w:p>
              </w:tc>
              <w:tc>
                <w:tcPr>
                  <w:tcW w:w="561" w:type="pct"/>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0.025</w:t>
                  </w:r>
                </w:p>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08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可见分光光度计721G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vMerge w:val="continue"/>
                  <w:noWrap w:val="0"/>
                  <w:vAlign w:val="center"/>
                </w:tcPr>
                <w:p>
                  <w:pPr>
                    <w:spacing w:line="240" w:lineRule="auto"/>
                    <w:jc w:val="center"/>
                    <w:rPr>
                      <w:rFonts w:hint="default" w:ascii="Times New Roman" w:hAnsi="Times New Roman" w:cs="Times New Roman"/>
                      <w:sz w:val="21"/>
                      <w:szCs w:val="21"/>
                    </w:rPr>
                  </w:pPr>
                </w:p>
              </w:tc>
              <w:tc>
                <w:tcPr>
                  <w:tcW w:w="71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总磷</w:t>
                  </w:r>
                </w:p>
              </w:tc>
              <w:tc>
                <w:tcPr>
                  <w:tcW w:w="223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水质 总磷的测定 钼酸铵分光光度法 </w:t>
                  </w:r>
                  <w:r>
                    <w:rPr>
                      <w:rFonts w:hint="default" w:ascii="Times New Roman" w:hAnsi="Times New Roman" w:cs="Times New Roman"/>
                      <w:sz w:val="21"/>
                      <w:szCs w:val="21"/>
                      <w:lang w:val="en-US" w:eastAsia="zh-CN"/>
                    </w:rPr>
                    <w:br w:type="textWrapping"/>
                  </w:r>
                  <w:r>
                    <w:rPr>
                      <w:rFonts w:hint="default" w:ascii="Times New Roman" w:hAnsi="Times New Roman" w:cs="Times New Roman"/>
                      <w:sz w:val="21"/>
                      <w:szCs w:val="21"/>
                      <w:lang w:val="en-US" w:eastAsia="zh-CN"/>
                    </w:rPr>
                    <w:t xml:space="preserve"> GB/T 11893-1989</w:t>
                  </w:r>
                </w:p>
              </w:tc>
              <w:tc>
                <w:tcPr>
                  <w:tcW w:w="561"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w:t>
                  </w:r>
                </w:p>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08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紫外多参数水质综合检测仪HM-U800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vMerge w:val="continue"/>
                  <w:noWrap w:val="0"/>
                  <w:vAlign w:val="center"/>
                </w:tcPr>
                <w:p>
                  <w:pPr>
                    <w:spacing w:line="240" w:lineRule="auto"/>
                    <w:jc w:val="center"/>
                    <w:rPr>
                      <w:rFonts w:hint="default" w:ascii="Times New Roman" w:hAnsi="Times New Roman" w:cs="Times New Roman"/>
                      <w:sz w:val="21"/>
                      <w:szCs w:val="21"/>
                    </w:rPr>
                  </w:pPr>
                </w:p>
              </w:tc>
              <w:tc>
                <w:tcPr>
                  <w:tcW w:w="71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化学需氧量</w:t>
                  </w:r>
                </w:p>
              </w:tc>
              <w:tc>
                <w:tcPr>
                  <w:tcW w:w="223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水质 化学需氧量的测定 </w:t>
                  </w:r>
                </w:p>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重铬酸盐法   HJ 828-2017</w:t>
                  </w:r>
                </w:p>
              </w:tc>
              <w:tc>
                <w:tcPr>
                  <w:tcW w:w="561"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085"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滴定管</w:t>
                  </w: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vMerge w:val="continue"/>
                  <w:noWrap w:val="0"/>
                  <w:vAlign w:val="center"/>
                </w:tcPr>
                <w:p>
                  <w:pPr>
                    <w:spacing w:line="240" w:lineRule="auto"/>
                    <w:jc w:val="center"/>
                    <w:rPr>
                      <w:rFonts w:hint="default" w:ascii="Times New Roman" w:hAnsi="Times New Roman" w:cs="Times New Roman"/>
                      <w:sz w:val="21"/>
                      <w:szCs w:val="21"/>
                    </w:rPr>
                  </w:pPr>
                </w:p>
              </w:tc>
              <w:tc>
                <w:tcPr>
                  <w:tcW w:w="71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五日生化</w:t>
                  </w:r>
                </w:p>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需氧量</w:t>
                  </w:r>
                </w:p>
              </w:tc>
              <w:tc>
                <w:tcPr>
                  <w:tcW w:w="223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水质 五日生化需氧量(BOD5)的测定 </w:t>
                  </w:r>
                  <w:r>
                    <w:rPr>
                      <w:rFonts w:hint="default" w:ascii="Times New Roman" w:hAnsi="Times New Roman" w:cs="Times New Roman"/>
                      <w:sz w:val="21"/>
                      <w:szCs w:val="21"/>
                      <w:lang w:val="en-US" w:eastAsia="zh-CN"/>
                    </w:rPr>
                    <w:br w:type="textWrapping"/>
                  </w:r>
                  <w:r>
                    <w:rPr>
                      <w:rFonts w:hint="default" w:ascii="Times New Roman" w:hAnsi="Times New Roman" w:cs="Times New Roman"/>
                      <w:sz w:val="21"/>
                      <w:szCs w:val="21"/>
                      <w:lang w:val="en-US" w:eastAsia="zh-CN"/>
                    </w:rPr>
                    <w:t>稀释与接种法 HJ 505-2009</w:t>
                  </w:r>
                </w:p>
              </w:tc>
              <w:tc>
                <w:tcPr>
                  <w:tcW w:w="561"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w:t>
                  </w:r>
                </w:p>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085"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生化培养箱</w:t>
                  </w:r>
                  <w:r>
                    <w:rPr>
                      <w:rFonts w:hint="default" w:ascii="Times New Roman" w:hAnsi="Times New Roman" w:cs="Times New Roman"/>
                      <w:sz w:val="21"/>
                      <w:szCs w:val="21"/>
                      <w:lang w:val="en-US" w:eastAsia="zh-CN"/>
                    </w:rPr>
                    <w:br w:type="textWrapping"/>
                  </w:r>
                  <w:r>
                    <w:rPr>
                      <w:rFonts w:hint="default" w:ascii="Times New Roman" w:hAnsi="Times New Roman" w:cs="Times New Roman"/>
                      <w:sz w:val="21"/>
                      <w:szCs w:val="21"/>
                      <w:lang w:val="en-US" w:eastAsia="zh-CN"/>
                    </w:rPr>
                    <w:t>LRH250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04"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噪声</w:t>
                  </w:r>
                </w:p>
              </w:tc>
              <w:tc>
                <w:tcPr>
                  <w:tcW w:w="714"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厂界环境</w:t>
                  </w: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噪声</w:t>
                  </w:r>
                </w:p>
              </w:tc>
              <w:tc>
                <w:tcPr>
                  <w:tcW w:w="2235"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工业企业厂界环境噪声排放标准 </w:t>
                  </w: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GB</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12348-2008</w:t>
                  </w:r>
                </w:p>
              </w:tc>
              <w:tc>
                <w:tcPr>
                  <w:tcW w:w="561"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085" w:type="pct"/>
                  <w:noWrap w:val="0"/>
                  <w:vAlign w:val="center"/>
                </w:tcPr>
                <w:p>
                  <w:pPr>
                    <w:pStyle w:val="19"/>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多功能声级计AWA</w:t>
                  </w:r>
                  <w:r>
                    <w:rPr>
                      <w:rFonts w:hint="default" w:ascii="Times New Roman" w:hAnsi="Times New Roman" w:cs="Times New Roman"/>
                      <w:sz w:val="21"/>
                      <w:szCs w:val="21"/>
                      <w:lang w:val="en-US" w:eastAsia="zh-CN"/>
                    </w:rPr>
                    <w:t>5688</w:t>
                  </w:r>
                </w:p>
                <w:p>
                  <w:pPr>
                    <w:pStyle w:val="19"/>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声校准器</w:t>
                  </w:r>
                </w:p>
                <w:p>
                  <w:pPr>
                    <w:pStyle w:val="19"/>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AWA6022A</w:t>
                  </w:r>
                </w:p>
              </w:tc>
            </w:tr>
          </w:tbl>
          <w:p>
            <w:pPr>
              <w:pStyle w:val="6"/>
              <w:bidi w:val="0"/>
              <w:rPr>
                <w:rFonts w:hint="default"/>
                <w:lang w:val="en-US" w:eastAsia="zh-CN"/>
              </w:rPr>
            </w:pPr>
            <w:bookmarkStart w:id="64" w:name="_Toc22586"/>
            <w:r>
              <w:rPr>
                <w:rFonts w:hint="default"/>
                <w:lang w:val="en-US" w:eastAsia="zh-CN"/>
              </w:rPr>
              <w:t>5.2质量控制</w:t>
            </w:r>
            <w:bookmarkEnd w:id="64"/>
          </w:p>
          <w:p>
            <w:pPr>
              <w:pStyle w:val="7"/>
              <w:bidi w:val="0"/>
              <w:rPr>
                <w:rFonts w:hint="default"/>
                <w:lang w:val="en-US" w:eastAsia="zh-CN"/>
              </w:rPr>
            </w:pPr>
            <w:r>
              <w:rPr>
                <w:rFonts w:hint="default"/>
                <w:lang w:val="en-US" w:eastAsia="zh-CN"/>
              </w:rPr>
              <w:t>5.2.1废气质量控制</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lang w:val="en-US" w:eastAsia="zh-CN"/>
              </w:rPr>
            </w:pPr>
            <w:r>
              <w:rPr>
                <w:rFonts w:hint="default"/>
                <w:sz w:val="24"/>
                <w:szCs w:val="24"/>
                <w:lang w:eastAsia="zh-CN"/>
              </w:rPr>
              <w:t>此次</w:t>
            </w:r>
            <w:r>
              <w:rPr>
                <w:rFonts w:hint="eastAsia"/>
                <w:sz w:val="24"/>
                <w:szCs w:val="24"/>
                <w:lang w:val="en-US" w:eastAsia="zh-CN"/>
              </w:rPr>
              <w:t>验收检测有组织废气流量校准</w:t>
            </w:r>
            <w:r>
              <w:rPr>
                <w:rFonts w:hint="default"/>
                <w:sz w:val="24"/>
                <w:szCs w:val="24"/>
                <w:lang w:eastAsia="zh-CN"/>
              </w:rPr>
              <w:t>见表</w:t>
            </w:r>
            <w:r>
              <w:rPr>
                <w:rFonts w:hint="default"/>
                <w:sz w:val="24"/>
                <w:szCs w:val="24"/>
                <w:lang w:val="en-US" w:eastAsia="zh-CN"/>
              </w:rPr>
              <w:t>5.</w:t>
            </w:r>
            <w:r>
              <w:rPr>
                <w:rFonts w:hint="eastAsia"/>
                <w:sz w:val="24"/>
                <w:szCs w:val="24"/>
                <w:lang w:val="en-US" w:eastAsia="zh-CN"/>
              </w:rPr>
              <w:t>2</w:t>
            </w:r>
            <w:r>
              <w:rPr>
                <w:rFonts w:hint="default"/>
                <w:sz w:val="24"/>
                <w:szCs w:val="24"/>
                <w:lang w:eastAsia="zh-CN"/>
              </w:rPr>
              <w:t>-1</w:t>
            </w:r>
            <w:r>
              <w:rPr>
                <w:rFonts w:hint="eastAsia"/>
                <w:sz w:val="24"/>
                <w:szCs w:val="24"/>
                <w:lang w:eastAsia="zh-CN"/>
              </w:rPr>
              <w:t>、</w:t>
            </w:r>
            <w:r>
              <w:rPr>
                <w:rFonts w:hint="eastAsia"/>
                <w:sz w:val="24"/>
                <w:szCs w:val="24"/>
                <w:lang w:val="en-US" w:eastAsia="zh-CN"/>
              </w:rPr>
              <w:t>无组织流量校准见表</w:t>
            </w:r>
            <w:r>
              <w:rPr>
                <w:rFonts w:hint="default"/>
                <w:sz w:val="24"/>
                <w:szCs w:val="24"/>
                <w:lang w:val="en-US" w:eastAsia="zh-CN"/>
              </w:rPr>
              <w:t>5.</w:t>
            </w:r>
            <w:r>
              <w:rPr>
                <w:rFonts w:hint="eastAsia"/>
                <w:sz w:val="24"/>
                <w:szCs w:val="24"/>
                <w:lang w:val="en-US" w:eastAsia="zh-CN"/>
              </w:rPr>
              <w:t>2</w:t>
            </w:r>
            <w:r>
              <w:rPr>
                <w:rFonts w:hint="default"/>
                <w:sz w:val="24"/>
                <w:szCs w:val="24"/>
                <w:lang w:eastAsia="zh-CN"/>
              </w:rPr>
              <w:t>-</w:t>
            </w:r>
            <w:r>
              <w:rPr>
                <w:rFonts w:hint="eastAsia"/>
                <w:sz w:val="24"/>
                <w:szCs w:val="24"/>
                <w:lang w:val="en-US" w:eastAsia="zh-CN"/>
              </w:rPr>
              <w:t>2、空白样汇总见表</w:t>
            </w:r>
            <w:r>
              <w:rPr>
                <w:rFonts w:hint="default"/>
                <w:sz w:val="24"/>
                <w:szCs w:val="24"/>
                <w:lang w:val="en-US" w:eastAsia="zh-CN"/>
              </w:rPr>
              <w:t>5.</w:t>
            </w:r>
            <w:r>
              <w:rPr>
                <w:rFonts w:hint="eastAsia"/>
                <w:sz w:val="24"/>
                <w:szCs w:val="24"/>
                <w:lang w:val="en-US" w:eastAsia="zh-CN"/>
              </w:rPr>
              <w:t>2</w:t>
            </w:r>
            <w:r>
              <w:rPr>
                <w:rFonts w:hint="default"/>
                <w:sz w:val="24"/>
                <w:szCs w:val="24"/>
                <w:lang w:eastAsia="zh-CN"/>
              </w:rPr>
              <w:t>-</w:t>
            </w:r>
            <w:r>
              <w:rPr>
                <w:rFonts w:hint="eastAsia"/>
                <w:sz w:val="24"/>
                <w:szCs w:val="24"/>
                <w:lang w:val="en-US" w:eastAsia="zh-CN"/>
              </w:rPr>
              <w:t>3</w:t>
            </w:r>
            <w:r>
              <w:rPr>
                <w:rFonts w:hint="default"/>
                <w:sz w:val="24"/>
                <w:szCs w:val="24"/>
                <w:lang w:val="en-US" w:eastAsia="zh-CN"/>
              </w:rPr>
              <w:t>。</w:t>
            </w:r>
          </w:p>
          <w:p>
            <w:pPr>
              <w:pStyle w:val="9"/>
              <w:bidi w:val="0"/>
              <w:rPr>
                <w:rFonts w:hint="eastAsia"/>
                <w:lang w:val="en-US" w:eastAsia="zh-CN"/>
              </w:rPr>
            </w:pPr>
            <w:r>
              <w:rPr>
                <w:rFonts w:hint="default"/>
                <w:lang w:val="en-US" w:eastAsia="zh-CN"/>
              </w:rPr>
              <w:t>表5.</w:t>
            </w:r>
            <w:r>
              <w:rPr>
                <w:rFonts w:hint="eastAsia"/>
                <w:lang w:val="en-US" w:eastAsia="zh-CN"/>
              </w:rPr>
              <w:t>2</w:t>
            </w:r>
            <w:r>
              <w:rPr>
                <w:rFonts w:hint="default"/>
                <w:lang w:val="en-US" w:eastAsia="zh-CN"/>
              </w:rPr>
              <w:t>-1</w:t>
            </w:r>
            <w:r>
              <w:rPr>
                <w:rFonts w:hint="eastAsia"/>
                <w:lang w:val="en-US" w:eastAsia="zh-CN"/>
              </w:rPr>
              <w:t xml:space="preserve">  有组织废气流量校准</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2084"/>
              <w:gridCol w:w="1456"/>
              <w:gridCol w:w="1456"/>
              <w:gridCol w:w="1432"/>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dxa"/>
                  <w:noWrap w:val="0"/>
                  <w:vAlign w:val="center"/>
                </w:tcPr>
                <w:p>
                  <w:pPr>
                    <w:widowControl w:val="0"/>
                    <w:jc w:val="center"/>
                    <w:rPr>
                      <w:rFonts w:hint="default"/>
                      <w:lang w:eastAsia="zh-CN"/>
                    </w:rPr>
                  </w:pPr>
                  <w:r>
                    <w:rPr>
                      <w:rFonts w:hint="default"/>
                    </w:rPr>
                    <w:t>管理编号</w:t>
                  </w:r>
                </w:p>
              </w:tc>
              <w:tc>
                <w:tcPr>
                  <w:tcW w:w="2175" w:type="dxa"/>
                  <w:noWrap w:val="0"/>
                  <w:vAlign w:val="center"/>
                </w:tcPr>
                <w:p>
                  <w:pPr>
                    <w:widowControl w:val="0"/>
                    <w:jc w:val="center"/>
                    <w:rPr>
                      <w:rFonts w:hint="default"/>
                      <w:lang w:eastAsia="zh-CN"/>
                    </w:rPr>
                  </w:pPr>
                  <w:r>
                    <w:rPr>
                      <w:rFonts w:hint="default"/>
                      <w:lang w:eastAsia="zh-CN"/>
                    </w:rPr>
                    <w:t>仪器型号</w:t>
                  </w:r>
                </w:p>
              </w:tc>
              <w:tc>
                <w:tcPr>
                  <w:tcW w:w="1482" w:type="dxa"/>
                  <w:noWrap w:val="0"/>
                  <w:vAlign w:val="center"/>
                </w:tcPr>
                <w:p>
                  <w:pPr>
                    <w:widowControl w:val="0"/>
                    <w:jc w:val="center"/>
                    <w:rPr>
                      <w:rFonts w:hint="default"/>
                      <w:lang w:eastAsia="zh-CN"/>
                    </w:rPr>
                  </w:pPr>
                  <w:r>
                    <w:rPr>
                      <w:rFonts w:hint="default"/>
                      <w:lang w:eastAsia="zh-CN"/>
                    </w:rPr>
                    <w:t>标定流量</w:t>
                  </w:r>
                </w:p>
                <w:p>
                  <w:pPr>
                    <w:widowControl w:val="0"/>
                    <w:jc w:val="center"/>
                    <w:rPr>
                      <w:rFonts w:hint="default"/>
                      <w:lang w:val="en-US" w:eastAsia="zh-CN"/>
                    </w:rPr>
                  </w:pPr>
                  <w:r>
                    <w:rPr>
                      <w:rFonts w:hint="default"/>
                      <w:lang w:eastAsia="zh-CN"/>
                    </w:rPr>
                    <w:t>（</w:t>
                  </w:r>
                  <w:r>
                    <w:rPr>
                      <w:rFonts w:hint="default"/>
                      <w:lang w:val="en-US" w:eastAsia="zh-CN"/>
                    </w:rPr>
                    <w:t>L/min</w:t>
                  </w:r>
                  <w:r>
                    <w:rPr>
                      <w:rFonts w:hint="default"/>
                      <w:lang w:eastAsia="zh-CN"/>
                    </w:rPr>
                    <w:t>）</w:t>
                  </w:r>
                </w:p>
              </w:tc>
              <w:tc>
                <w:tcPr>
                  <w:tcW w:w="1482" w:type="dxa"/>
                  <w:noWrap w:val="0"/>
                  <w:vAlign w:val="center"/>
                </w:tcPr>
                <w:p>
                  <w:pPr>
                    <w:widowControl w:val="0"/>
                    <w:jc w:val="center"/>
                    <w:rPr>
                      <w:rFonts w:hint="default"/>
                      <w:lang w:val="zh-CN" w:eastAsia="zh-CN"/>
                    </w:rPr>
                  </w:pPr>
                  <w:r>
                    <w:rPr>
                      <w:rFonts w:hint="default"/>
                      <w:lang w:val="zh-CN" w:eastAsia="zh-CN"/>
                    </w:rPr>
                    <w:t>标定示值</w:t>
                  </w:r>
                  <w:r>
                    <w:rPr>
                      <w:rFonts w:hint="default"/>
                      <w:lang w:eastAsia="zh-CN"/>
                    </w:rPr>
                    <w:t>（</w:t>
                  </w:r>
                  <w:r>
                    <w:rPr>
                      <w:rFonts w:hint="default"/>
                      <w:lang w:val="en-US" w:eastAsia="zh-CN"/>
                    </w:rPr>
                    <w:t>L/min</w:t>
                  </w:r>
                  <w:r>
                    <w:rPr>
                      <w:rFonts w:hint="default"/>
                      <w:lang w:eastAsia="zh-CN"/>
                    </w:rPr>
                    <w:t>）</w:t>
                  </w:r>
                </w:p>
              </w:tc>
              <w:tc>
                <w:tcPr>
                  <w:tcW w:w="1484" w:type="dxa"/>
                  <w:noWrap w:val="0"/>
                  <w:vAlign w:val="center"/>
                </w:tcPr>
                <w:p>
                  <w:pPr>
                    <w:widowControl w:val="0"/>
                    <w:jc w:val="center"/>
                    <w:rPr>
                      <w:rFonts w:hint="default"/>
                      <w:lang w:val="zh-CN" w:eastAsia="zh-CN"/>
                    </w:rPr>
                  </w:pPr>
                  <w:r>
                    <w:rPr>
                      <w:rFonts w:hint="default"/>
                      <w:lang w:val="zh-CN" w:eastAsia="zh-CN"/>
                    </w:rPr>
                    <w:t>示值偏差</w:t>
                  </w:r>
                </w:p>
                <w:p>
                  <w:pPr>
                    <w:widowControl w:val="0"/>
                    <w:jc w:val="center"/>
                    <w:rPr>
                      <w:rFonts w:hint="default"/>
                      <w:lang w:val="en-US" w:eastAsia="zh-CN"/>
                    </w:rPr>
                  </w:pPr>
                  <w:r>
                    <w:rPr>
                      <w:rFonts w:hint="default"/>
                      <w:lang w:val="zh-CN" w:eastAsia="zh-CN"/>
                    </w:rPr>
                    <w:t>（</w:t>
                  </w:r>
                  <w:r>
                    <w:rPr>
                      <w:rFonts w:hint="default"/>
                      <w:lang w:val="en-US" w:eastAsia="zh-CN"/>
                    </w:rPr>
                    <w:t>%</w:t>
                  </w:r>
                  <w:r>
                    <w:rPr>
                      <w:rFonts w:hint="default"/>
                      <w:lang w:val="zh-CN" w:eastAsia="zh-CN"/>
                    </w:rPr>
                    <w:t>）</w:t>
                  </w:r>
                </w:p>
              </w:tc>
              <w:tc>
                <w:tcPr>
                  <w:tcW w:w="1146" w:type="dxa"/>
                  <w:noWrap w:val="0"/>
                  <w:vAlign w:val="center"/>
                </w:tcPr>
                <w:p>
                  <w:pPr>
                    <w:widowControl w:val="0"/>
                    <w:jc w:val="center"/>
                    <w:rPr>
                      <w:rFonts w:hint="default"/>
                      <w:lang w:eastAsia="zh-CN"/>
                    </w:rPr>
                  </w:pPr>
                  <w:r>
                    <w:rPr>
                      <w:rFonts w:hint="default"/>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dxa"/>
                  <w:vMerge w:val="restart"/>
                  <w:noWrap w:val="0"/>
                  <w:vAlign w:val="center"/>
                </w:tcPr>
                <w:p>
                  <w:pPr>
                    <w:spacing w:line="240" w:lineRule="auto"/>
                    <w:jc w:val="center"/>
                    <w:rPr>
                      <w:rFonts w:hint="default"/>
                      <w:lang w:val="en-US" w:eastAsia="zh-CN"/>
                    </w:rPr>
                  </w:pPr>
                  <w:r>
                    <w:rPr>
                      <w:rFonts w:hint="eastAsia"/>
                      <w:lang w:val="en-US" w:eastAsia="zh-CN"/>
                    </w:rPr>
                    <w:t>CTS-451</w:t>
                  </w:r>
                </w:p>
              </w:tc>
              <w:tc>
                <w:tcPr>
                  <w:tcW w:w="2175" w:type="dxa"/>
                  <w:vMerge w:val="restart"/>
                  <w:noWrap w:val="0"/>
                  <w:vAlign w:val="center"/>
                </w:tcPr>
                <w:p>
                  <w:pPr>
                    <w:spacing w:line="240" w:lineRule="auto"/>
                    <w:jc w:val="center"/>
                    <w:rPr>
                      <w:rFonts w:hint="default"/>
                      <w:lang w:val="en-US" w:eastAsia="zh-CN"/>
                    </w:rPr>
                  </w:pPr>
                  <w:r>
                    <w:rPr>
                      <w:rFonts w:hint="default"/>
                      <w:lang w:val="en-US" w:eastAsia="zh-CN"/>
                    </w:rPr>
                    <w:t>自动烟尘/气测试仪崂应3012H-C型</w:t>
                  </w:r>
                </w:p>
              </w:tc>
              <w:tc>
                <w:tcPr>
                  <w:tcW w:w="1482" w:type="dxa"/>
                  <w:noWrap w:val="0"/>
                  <w:vAlign w:val="center"/>
                </w:tcPr>
                <w:p>
                  <w:pPr>
                    <w:keepNext w:val="0"/>
                    <w:keepLines w:val="0"/>
                    <w:widowControl/>
                    <w:suppressLineNumbers w:val="0"/>
                    <w:jc w:val="center"/>
                    <w:textAlignment w:val="center"/>
                    <w:rPr>
                      <w:rFonts w:hint="default"/>
                      <w:lang w:val="en-US" w:eastAsia="zh-CN"/>
                    </w:rPr>
                  </w:pPr>
                </w:p>
              </w:tc>
              <w:tc>
                <w:tcPr>
                  <w:tcW w:w="1482" w:type="dxa"/>
                  <w:noWrap w:val="0"/>
                  <w:vAlign w:val="center"/>
                </w:tcPr>
                <w:p>
                  <w:pPr>
                    <w:keepNext w:val="0"/>
                    <w:keepLines w:val="0"/>
                    <w:widowControl/>
                    <w:suppressLineNumbers w:val="0"/>
                    <w:jc w:val="center"/>
                    <w:textAlignment w:val="center"/>
                    <w:rPr>
                      <w:rFonts w:hint="default"/>
                      <w:lang w:val="en-US" w:eastAsia="zh-CN"/>
                    </w:rPr>
                  </w:pPr>
                </w:p>
              </w:tc>
              <w:tc>
                <w:tcPr>
                  <w:tcW w:w="1484" w:type="dxa"/>
                  <w:noWrap w:val="0"/>
                  <w:vAlign w:val="center"/>
                </w:tcPr>
                <w:p>
                  <w:pPr>
                    <w:keepNext w:val="0"/>
                    <w:keepLines w:val="0"/>
                    <w:widowControl/>
                    <w:suppressLineNumbers w:val="0"/>
                    <w:jc w:val="center"/>
                    <w:textAlignment w:val="center"/>
                    <w:rPr>
                      <w:rFonts w:hint="default"/>
                      <w:lang w:val="en-US" w:eastAsia="zh-CN"/>
                    </w:rPr>
                  </w:pPr>
                </w:p>
              </w:tc>
              <w:tc>
                <w:tcPr>
                  <w:tcW w:w="1146" w:type="dxa"/>
                  <w:noWrap w:val="0"/>
                  <w:vAlign w:val="center"/>
                </w:tcPr>
                <w:p>
                  <w:pPr>
                    <w:widowControl w:val="0"/>
                    <w:jc w:val="center"/>
                    <w:rPr>
                      <w:rFonts w:hint="default"/>
                      <w:lang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dxa"/>
                  <w:vMerge w:val="continue"/>
                  <w:noWrap w:val="0"/>
                  <w:vAlign w:val="center"/>
                </w:tcPr>
                <w:p>
                  <w:pPr>
                    <w:widowControl w:val="0"/>
                    <w:jc w:val="center"/>
                    <w:rPr>
                      <w:rFonts w:hint="default"/>
                    </w:rPr>
                  </w:pPr>
                </w:p>
              </w:tc>
              <w:tc>
                <w:tcPr>
                  <w:tcW w:w="2175" w:type="dxa"/>
                  <w:vMerge w:val="continue"/>
                  <w:noWrap w:val="0"/>
                  <w:vAlign w:val="center"/>
                </w:tcPr>
                <w:p>
                  <w:pPr>
                    <w:widowControl w:val="0"/>
                    <w:jc w:val="center"/>
                    <w:rPr>
                      <w:rFonts w:hint="default"/>
                    </w:rPr>
                  </w:pPr>
                </w:p>
              </w:tc>
              <w:tc>
                <w:tcPr>
                  <w:tcW w:w="1482" w:type="dxa"/>
                  <w:noWrap w:val="0"/>
                  <w:vAlign w:val="center"/>
                </w:tcPr>
                <w:p>
                  <w:pPr>
                    <w:keepNext w:val="0"/>
                    <w:keepLines w:val="0"/>
                    <w:widowControl/>
                    <w:suppressLineNumbers w:val="0"/>
                    <w:jc w:val="center"/>
                    <w:textAlignment w:val="center"/>
                    <w:rPr>
                      <w:rFonts w:hint="default"/>
                      <w:lang w:val="en-US" w:eastAsia="zh-CN"/>
                    </w:rPr>
                  </w:pPr>
                </w:p>
              </w:tc>
              <w:tc>
                <w:tcPr>
                  <w:tcW w:w="1482" w:type="dxa"/>
                  <w:noWrap w:val="0"/>
                  <w:vAlign w:val="center"/>
                </w:tcPr>
                <w:p>
                  <w:pPr>
                    <w:keepNext w:val="0"/>
                    <w:keepLines w:val="0"/>
                    <w:widowControl/>
                    <w:suppressLineNumbers w:val="0"/>
                    <w:jc w:val="center"/>
                    <w:textAlignment w:val="center"/>
                    <w:rPr>
                      <w:rFonts w:hint="default"/>
                      <w:lang w:val="en-US" w:eastAsia="zh-CN"/>
                    </w:rPr>
                  </w:pPr>
                </w:p>
              </w:tc>
              <w:tc>
                <w:tcPr>
                  <w:tcW w:w="1484" w:type="dxa"/>
                  <w:noWrap w:val="0"/>
                  <w:vAlign w:val="center"/>
                </w:tcPr>
                <w:p>
                  <w:pPr>
                    <w:keepNext w:val="0"/>
                    <w:keepLines w:val="0"/>
                    <w:widowControl/>
                    <w:suppressLineNumbers w:val="0"/>
                    <w:jc w:val="center"/>
                    <w:textAlignment w:val="center"/>
                    <w:rPr>
                      <w:rFonts w:hint="default"/>
                      <w:lang w:val="en-US" w:eastAsia="zh-CN"/>
                    </w:rPr>
                  </w:pPr>
                </w:p>
              </w:tc>
              <w:tc>
                <w:tcPr>
                  <w:tcW w:w="1146" w:type="dxa"/>
                  <w:noWrap w:val="0"/>
                  <w:vAlign w:val="center"/>
                </w:tcPr>
                <w:p>
                  <w:pPr>
                    <w:widowControl w:val="0"/>
                    <w:jc w:val="center"/>
                    <w:rPr>
                      <w:rFonts w:hint="default"/>
                      <w:lang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dxa"/>
                  <w:vMerge w:val="continue"/>
                  <w:noWrap w:val="0"/>
                  <w:vAlign w:val="center"/>
                </w:tcPr>
                <w:p>
                  <w:pPr>
                    <w:widowControl w:val="0"/>
                    <w:jc w:val="center"/>
                    <w:rPr>
                      <w:rFonts w:hint="default"/>
                    </w:rPr>
                  </w:pPr>
                </w:p>
              </w:tc>
              <w:tc>
                <w:tcPr>
                  <w:tcW w:w="2175" w:type="dxa"/>
                  <w:vMerge w:val="continue"/>
                  <w:noWrap w:val="0"/>
                  <w:vAlign w:val="center"/>
                </w:tcPr>
                <w:p>
                  <w:pPr>
                    <w:widowControl w:val="0"/>
                    <w:jc w:val="center"/>
                    <w:rPr>
                      <w:rFonts w:hint="default"/>
                    </w:rPr>
                  </w:pPr>
                </w:p>
              </w:tc>
              <w:tc>
                <w:tcPr>
                  <w:tcW w:w="1482" w:type="dxa"/>
                  <w:noWrap w:val="0"/>
                  <w:vAlign w:val="center"/>
                </w:tcPr>
                <w:p>
                  <w:pPr>
                    <w:keepNext w:val="0"/>
                    <w:keepLines w:val="0"/>
                    <w:widowControl/>
                    <w:suppressLineNumbers w:val="0"/>
                    <w:jc w:val="center"/>
                    <w:textAlignment w:val="center"/>
                    <w:rPr>
                      <w:rFonts w:hint="default"/>
                      <w:lang w:val="en-US" w:eastAsia="zh-CN"/>
                    </w:rPr>
                  </w:pPr>
                </w:p>
              </w:tc>
              <w:tc>
                <w:tcPr>
                  <w:tcW w:w="1482" w:type="dxa"/>
                  <w:noWrap w:val="0"/>
                  <w:vAlign w:val="center"/>
                </w:tcPr>
                <w:p>
                  <w:pPr>
                    <w:keepNext w:val="0"/>
                    <w:keepLines w:val="0"/>
                    <w:widowControl/>
                    <w:suppressLineNumbers w:val="0"/>
                    <w:jc w:val="center"/>
                    <w:textAlignment w:val="center"/>
                    <w:rPr>
                      <w:rFonts w:hint="default"/>
                      <w:lang w:val="en-US" w:eastAsia="zh-CN"/>
                    </w:rPr>
                  </w:pPr>
                </w:p>
              </w:tc>
              <w:tc>
                <w:tcPr>
                  <w:tcW w:w="1484" w:type="dxa"/>
                  <w:noWrap w:val="0"/>
                  <w:vAlign w:val="center"/>
                </w:tcPr>
                <w:p>
                  <w:pPr>
                    <w:keepNext w:val="0"/>
                    <w:keepLines w:val="0"/>
                    <w:widowControl/>
                    <w:suppressLineNumbers w:val="0"/>
                    <w:jc w:val="center"/>
                    <w:textAlignment w:val="center"/>
                    <w:rPr>
                      <w:rFonts w:hint="default"/>
                      <w:lang w:val="en-US" w:eastAsia="zh-CN"/>
                    </w:rPr>
                  </w:pPr>
                </w:p>
              </w:tc>
              <w:tc>
                <w:tcPr>
                  <w:tcW w:w="1146" w:type="dxa"/>
                  <w:noWrap w:val="0"/>
                  <w:vAlign w:val="center"/>
                </w:tcPr>
                <w:p>
                  <w:pPr>
                    <w:widowControl w:val="0"/>
                    <w:jc w:val="center"/>
                    <w:rPr>
                      <w:rFonts w:hint="default"/>
                      <w:lang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dxa"/>
                  <w:noWrap w:val="0"/>
                  <w:vAlign w:val="center"/>
                </w:tcPr>
                <w:p>
                  <w:pPr>
                    <w:widowControl w:val="0"/>
                    <w:jc w:val="center"/>
                    <w:rPr>
                      <w:rFonts w:hint="default"/>
                      <w:lang w:val="en-US" w:eastAsia="zh-CN"/>
                    </w:rPr>
                  </w:pPr>
                  <w:r>
                    <w:rPr>
                      <w:rFonts w:hint="eastAsia"/>
                      <w:lang w:val="en-US" w:eastAsia="zh-CN"/>
                    </w:rPr>
                    <w:t>备注</w:t>
                  </w:r>
                </w:p>
              </w:tc>
              <w:tc>
                <w:tcPr>
                  <w:tcW w:w="7769" w:type="dxa"/>
                  <w:gridSpan w:val="5"/>
                  <w:noWrap w:val="0"/>
                  <w:vAlign w:val="center"/>
                </w:tcPr>
                <w:p>
                  <w:pPr>
                    <w:widowControl w:val="0"/>
                    <w:jc w:val="both"/>
                    <w:rPr>
                      <w:rFonts w:hint="default"/>
                      <w:lang w:val="en-US" w:eastAsia="zh-CN"/>
                    </w:rPr>
                  </w:pPr>
                  <w:r>
                    <w:rPr>
                      <w:rFonts w:hint="default"/>
                      <w:lang w:eastAsia="zh-CN"/>
                    </w:rPr>
                    <w:t>校准流量计型号：</w:t>
                  </w:r>
                  <w:r>
                    <w:rPr>
                      <w:rFonts w:hint="eastAsia"/>
                      <w:lang w:val="en-US" w:eastAsia="zh-CN"/>
                    </w:rPr>
                    <w:t>智能高精度综合标准仪崂应8040型。</w:t>
                  </w:r>
                </w:p>
              </w:tc>
            </w:tr>
          </w:tbl>
          <w:p>
            <w:pPr>
              <w:pStyle w:val="9"/>
              <w:bidi w:val="0"/>
              <w:rPr>
                <w:rFonts w:hint="eastAsia"/>
                <w:lang w:val="en-US" w:eastAsia="zh-CN"/>
              </w:rPr>
            </w:pP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2  无组织废气流量校准</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9"/>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2379"/>
              <w:gridCol w:w="1351"/>
              <w:gridCol w:w="1351"/>
              <w:gridCol w:w="1351"/>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noWrap w:val="0"/>
                  <w:vAlign w:val="center"/>
                </w:tcPr>
                <w:p>
                  <w:pPr>
                    <w:widowControl w:val="0"/>
                    <w:jc w:val="center"/>
                    <w:rPr>
                      <w:rFonts w:hint="default"/>
                      <w:lang w:eastAsia="zh-CN"/>
                    </w:rPr>
                  </w:pPr>
                  <w:r>
                    <w:rPr>
                      <w:rFonts w:hint="default"/>
                    </w:rPr>
                    <w:t>管理编号</w:t>
                  </w:r>
                </w:p>
              </w:tc>
              <w:tc>
                <w:tcPr>
                  <w:tcW w:w="2379" w:type="dxa"/>
                  <w:noWrap w:val="0"/>
                  <w:vAlign w:val="center"/>
                </w:tcPr>
                <w:p>
                  <w:pPr>
                    <w:widowControl w:val="0"/>
                    <w:jc w:val="center"/>
                    <w:rPr>
                      <w:rFonts w:hint="default"/>
                      <w:lang w:val="en-US" w:eastAsia="zh-CN"/>
                    </w:rPr>
                  </w:pPr>
                  <w:r>
                    <w:rPr>
                      <w:rFonts w:hint="default"/>
                      <w:lang w:eastAsia="zh-CN"/>
                    </w:rPr>
                    <w:t>仪器型号</w:t>
                  </w:r>
                </w:p>
              </w:tc>
              <w:tc>
                <w:tcPr>
                  <w:tcW w:w="1351" w:type="dxa"/>
                  <w:noWrap w:val="0"/>
                  <w:vAlign w:val="center"/>
                </w:tcPr>
                <w:p>
                  <w:pPr>
                    <w:widowControl w:val="0"/>
                    <w:jc w:val="center"/>
                    <w:rPr>
                      <w:rFonts w:hint="default"/>
                      <w:lang w:eastAsia="zh-CN"/>
                    </w:rPr>
                  </w:pPr>
                  <w:r>
                    <w:rPr>
                      <w:rFonts w:hint="default"/>
                      <w:lang w:eastAsia="zh-CN"/>
                    </w:rPr>
                    <w:t>标定流量</w:t>
                  </w:r>
                </w:p>
                <w:p>
                  <w:pPr>
                    <w:widowControl w:val="0"/>
                    <w:jc w:val="center"/>
                    <w:rPr>
                      <w:rFonts w:hint="default"/>
                      <w:lang w:eastAsia="zh-CN"/>
                    </w:rPr>
                  </w:pPr>
                  <w:r>
                    <w:rPr>
                      <w:rFonts w:hint="default"/>
                      <w:lang w:eastAsia="zh-CN"/>
                    </w:rPr>
                    <w:t>（</w:t>
                  </w:r>
                  <w:r>
                    <w:rPr>
                      <w:rFonts w:hint="default"/>
                      <w:lang w:val="en-US" w:eastAsia="zh-CN"/>
                    </w:rPr>
                    <w:t>L/min</w:t>
                  </w:r>
                  <w:r>
                    <w:rPr>
                      <w:rFonts w:hint="default"/>
                      <w:lang w:eastAsia="zh-CN"/>
                    </w:rPr>
                    <w:t>）</w:t>
                  </w:r>
                </w:p>
              </w:tc>
              <w:tc>
                <w:tcPr>
                  <w:tcW w:w="1351" w:type="dxa"/>
                  <w:noWrap w:val="0"/>
                  <w:vAlign w:val="center"/>
                </w:tcPr>
                <w:p>
                  <w:pPr>
                    <w:widowControl w:val="0"/>
                    <w:jc w:val="center"/>
                    <w:rPr>
                      <w:rFonts w:hint="default"/>
                      <w:lang w:eastAsia="zh-CN"/>
                    </w:rPr>
                  </w:pPr>
                  <w:r>
                    <w:rPr>
                      <w:rFonts w:hint="default"/>
                      <w:lang w:val="zh-CN"/>
                    </w:rPr>
                    <w:t>标定示值</w:t>
                  </w:r>
                  <w:r>
                    <w:rPr>
                      <w:rFonts w:hint="default"/>
                      <w:lang w:eastAsia="zh-CN"/>
                    </w:rPr>
                    <w:t>（</w:t>
                  </w:r>
                  <w:r>
                    <w:rPr>
                      <w:rFonts w:hint="default"/>
                      <w:lang w:val="en-US" w:eastAsia="zh-CN"/>
                    </w:rPr>
                    <w:t>L/min</w:t>
                  </w:r>
                  <w:r>
                    <w:rPr>
                      <w:rFonts w:hint="default"/>
                      <w:lang w:eastAsia="zh-CN"/>
                    </w:rPr>
                    <w:t>）</w:t>
                  </w:r>
                </w:p>
              </w:tc>
              <w:tc>
                <w:tcPr>
                  <w:tcW w:w="1351" w:type="dxa"/>
                  <w:noWrap w:val="0"/>
                  <w:vAlign w:val="center"/>
                </w:tcPr>
                <w:p>
                  <w:pPr>
                    <w:widowControl w:val="0"/>
                    <w:jc w:val="center"/>
                    <w:rPr>
                      <w:rFonts w:hint="default"/>
                      <w:lang w:val="zh-CN"/>
                    </w:rPr>
                  </w:pPr>
                  <w:r>
                    <w:rPr>
                      <w:rFonts w:hint="default"/>
                      <w:lang w:val="zh-CN"/>
                    </w:rPr>
                    <w:t>示值偏差</w:t>
                  </w:r>
                </w:p>
                <w:p>
                  <w:pPr>
                    <w:widowControl w:val="0"/>
                    <w:jc w:val="center"/>
                    <w:rPr>
                      <w:rFonts w:hint="default"/>
                      <w:lang w:val="zh-CN" w:eastAsia="zh-CN"/>
                    </w:rPr>
                  </w:pPr>
                  <w:r>
                    <w:rPr>
                      <w:rFonts w:hint="default"/>
                      <w:lang w:val="zh-CN"/>
                    </w:rPr>
                    <w:t>（</w:t>
                  </w:r>
                  <w:r>
                    <w:rPr>
                      <w:rFonts w:hint="default"/>
                      <w:lang w:val="en-US" w:eastAsia="zh-CN"/>
                    </w:rPr>
                    <w:t>%</w:t>
                  </w:r>
                  <w:r>
                    <w:rPr>
                      <w:rFonts w:hint="default"/>
                      <w:lang w:val="zh-CN"/>
                    </w:rPr>
                    <w:t>）</w:t>
                  </w:r>
                </w:p>
              </w:tc>
              <w:tc>
                <w:tcPr>
                  <w:tcW w:w="1354" w:type="dxa"/>
                  <w:noWrap w:val="0"/>
                  <w:vAlign w:val="center"/>
                </w:tcPr>
                <w:p>
                  <w:pPr>
                    <w:widowControl w:val="0"/>
                    <w:jc w:val="center"/>
                    <w:rPr>
                      <w:rFonts w:hint="default"/>
                      <w:lang w:eastAsia="zh-CN"/>
                    </w:rPr>
                  </w:pPr>
                  <w:r>
                    <w:rPr>
                      <w:rFonts w:hint="default"/>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restart"/>
                  <w:noWrap w:val="0"/>
                  <w:vAlign w:val="center"/>
                </w:tcPr>
                <w:p>
                  <w:pPr>
                    <w:jc w:val="center"/>
                    <w:rPr>
                      <w:rFonts w:hint="default"/>
                      <w:lang w:val="en-US"/>
                    </w:rPr>
                  </w:pPr>
                  <w:r>
                    <w:rPr>
                      <w:rFonts w:hint="default"/>
                      <w:lang w:val="en-US" w:eastAsia="zh-CN"/>
                    </w:rPr>
                    <w:t>CTS-</w:t>
                  </w:r>
                  <w:r>
                    <w:rPr>
                      <w:rFonts w:hint="eastAsia"/>
                      <w:lang w:val="en-US" w:eastAsia="zh-CN"/>
                    </w:rPr>
                    <w:t>452</w:t>
                  </w:r>
                </w:p>
              </w:tc>
              <w:tc>
                <w:tcPr>
                  <w:tcW w:w="2379" w:type="dxa"/>
                  <w:vMerge w:val="restart"/>
                  <w:noWrap w:val="0"/>
                  <w:vAlign w:val="center"/>
                </w:tcPr>
                <w:p>
                  <w:pPr>
                    <w:jc w:val="center"/>
                    <w:rPr>
                      <w:rFonts w:hint="default"/>
                      <w:lang w:val="en-US" w:eastAsia="zh-CN"/>
                    </w:rPr>
                  </w:pPr>
                  <w:r>
                    <w:rPr>
                      <w:rFonts w:hint="default"/>
                      <w:lang w:val="en-US" w:eastAsia="zh-CN"/>
                    </w:rPr>
                    <w:t>环境空气综合采样器</w:t>
                  </w:r>
                </w:p>
                <w:p>
                  <w:pPr>
                    <w:widowControl w:val="0"/>
                    <w:jc w:val="center"/>
                    <w:rPr>
                      <w:rFonts w:hint="default"/>
                      <w:lang w:eastAsia="zh-CN"/>
                    </w:rPr>
                  </w:pPr>
                  <w:r>
                    <w:rPr>
                      <w:rFonts w:hint="default"/>
                      <w:lang w:val="en-US" w:eastAsia="zh-CN"/>
                    </w:rPr>
                    <w:t>崂应2050型</w:t>
                  </w: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continue"/>
                  <w:noWrap w:val="0"/>
                  <w:vAlign w:val="center"/>
                </w:tcPr>
                <w:p>
                  <w:pPr>
                    <w:widowControl w:val="0"/>
                    <w:jc w:val="center"/>
                    <w:rPr>
                      <w:rFonts w:hint="default"/>
                    </w:rPr>
                  </w:pPr>
                </w:p>
              </w:tc>
              <w:tc>
                <w:tcPr>
                  <w:tcW w:w="2379" w:type="dxa"/>
                  <w:vMerge w:val="continue"/>
                  <w:noWrap w:val="0"/>
                  <w:vAlign w:val="center"/>
                </w:tcPr>
                <w:p>
                  <w:pPr>
                    <w:widowControl w:val="0"/>
                    <w:jc w:val="center"/>
                    <w:rPr>
                      <w:rFonts w:hint="default"/>
                      <w:lang w:eastAsia="zh-CN"/>
                    </w:rPr>
                  </w:pP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continue"/>
                  <w:noWrap w:val="0"/>
                  <w:vAlign w:val="center"/>
                </w:tcPr>
                <w:p>
                  <w:pPr>
                    <w:widowControl w:val="0"/>
                    <w:jc w:val="center"/>
                    <w:rPr>
                      <w:rFonts w:hint="default"/>
                    </w:rPr>
                  </w:pPr>
                </w:p>
              </w:tc>
              <w:tc>
                <w:tcPr>
                  <w:tcW w:w="2379" w:type="dxa"/>
                  <w:vMerge w:val="continue"/>
                  <w:noWrap w:val="0"/>
                  <w:vAlign w:val="center"/>
                </w:tcPr>
                <w:p>
                  <w:pPr>
                    <w:widowControl w:val="0"/>
                    <w:jc w:val="center"/>
                    <w:rPr>
                      <w:rFonts w:hint="default"/>
                      <w:lang w:eastAsia="zh-CN"/>
                    </w:rPr>
                  </w:pP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restart"/>
                  <w:noWrap w:val="0"/>
                  <w:vAlign w:val="center"/>
                </w:tcPr>
                <w:p>
                  <w:pPr>
                    <w:jc w:val="center"/>
                    <w:rPr>
                      <w:rFonts w:hint="default"/>
                      <w:lang w:val="en-US"/>
                    </w:rPr>
                  </w:pPr>
                  <w:r>
                    <w:rPr>
                      <w:rFonts w:hint="default"/>
                      <w:lang w:val="en-US" w:eastAsia="zh-CN"/>
                    </w:rPr>
                    <w:t>CTS-</w:t>
                  </w:r>
                  <w:r>
                    <w:rPr>
                      <w:rFonts w:hint="eastAsia"/>
                      <w:lang w:val="en-US" w:eastAsia="zh-CN"/>
                    </w:rPr>
                    <w:t>483</w:t>
                  </w:r>
                </w:p>
              </w:tc>
              <w:tc>
                <w:tcPr>
                  <w:tcW w:w="2379" w:type="dxa"/>
                  <w:vMerge w:val="restart"/>
                  <w:noWrap w:val="0"/>
                  <w:vAlign w:val="center"/>
                </w:tcPr>
                <w:p>
                  <w:pPr>
                    <w:jc w:val="center"/>
                    <w:rPr>
                      <w:rFonts w:hint="default"/>
                      <w:lang w:val="en-US" w:eastAsia="zh-CN"/>
                    </w:rPr>
                  </w:pPr>
                  <w:r>
                    <w:rPr>
                      <w:rFonts w:hint="default"/>
                      <w:lang w:val="en-US" w:eastAsia="zh-CN"/>
                    </w:rPr>
                    <w:t>环境空气综合采样器</w:t>
                  </w:r>
                </w:p>
                <w:p>
                  <w:pPr>
                    <w:widowControl w:val="0"/>
                    <w:jc w:val="center"/>
                    <w:rPr>
                      <w:rFonts w:hint="default"/>
                      <w:lang w:eastAsia="zh-CN"/>
                    </w:rPr>
                  </w:pPr>
                  <w:r>
                    <w:rPr>
                      <w:rFonts w:hint="default"/>
                      <w:lang w:val="en-US" w:eastAsia="zh-CN"/>
                    </w:rPr>
                    <w:t>崂应2050型</w:t>
                  </w: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continue"/>
                  <w:noWrap w:val="0"/>
                  <w:vAlign w:val="center"/>
                </w:tcPr>
                <w:p>
                  <w:pPr>
                    <w:widowControl w:val="0"/>
                    <w:jc w:val="center"/>
                    <w:rPr>
                      <w:rFonts w:hint="default"/>
                    </w:rPr>
                  </w:pPr>
                </w:p>
              </w:tc>
              <w:tc>
                <w:tcPr>
                  <w:tcW w:w="2379" w:type="dxa"/>
                  <w:vMerge w:val="continue"/>
                  <w:noWrap w:val="0"/>
                  <w:vAlign w:val="center"/>
                </w:tcPr>
                <w:p>
                  <w:pPr>
                    <w:widowControl w:val="0"/>
                    <w:jc w:val="center"/>
                    <w:rPr>
                      <w:rFonts w:hint="default"/>
                      <w:lang w:eastAsia="zh-CN"/>
                    </w:rPr>
                  </w:pP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continue"/>
                  <w:noWrap w:val="0"/>
                  <w:vAlign w:val="center"/>
                </w:tcPr>
                <w:p>
                  <w:pPr>
                    <w:widowControl w:val="0"/>
                    <w:jc w:val="center"/>
                    <w:rPr>
                      <w:rFonts w:hint="default"/>
                    </w:rPr>
                  </w:pPr>
                </w:p>
              </w:tc>
              <w:tc>
                <w:tcPr>
                  <w:tcW w:w="2379" w:type="dxa"/>
                  <w:vMerge w:val="continue"/>
                  <w:noWrap w:val="0"/>
                  <w:vAlign w:val="center"/>
                </w:tcPr>
                <w:p>
                  <w:pPr>
                    <w:widowControl w:val="0"/>
                    <w:jc w:val="center"/>
                    <w:rPr>
                      <w:rFonts w:hint="default"/>
                      <w:lang w:eastAsia="zh-CN"/>
                    </w:rPr>
                  </w:pP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restart"/>
                  <w:noWrap w:val="0"/>
                  <w:vAlign w:val="center"/>
                </w:tcPr>
                <w:p>
                  <w:pPr>
                    <w:jc w:val="center"/>
                    <w:rPr>
                      <w:rFonts w:hint="default"/>
                      <w:lang w:val="en-US"/>
                    </w:rPr>
                  </w:pPr>
                  <w:r>
                    <w:rPr>
                      <w:rFonts w:hint="default"/>
                      <w:lang w:val="en-US" w:eastAsia="zh-CN"/>
                    </w:rPr>
                    <w:t>CTS-</w:t>
                  </w:r>
                  <w:r>
                    <w:rPr>
                      <w:rFonts w:hint="eastAsia"/>
                      <w:lang w:val="en-US" w:eastAsia="zh-CN"/>
                    </w:rPr>
                    <w:t>484</w:t>
                  </w:r>
                </w:p>
              </w:tc>
              <w:tc>
                <w:tcPr>
                  <w:tcW w:w="2379" w:type="dxa"/>
                  <w:vMerge w:val="restart"/>
                  <w:noWrap w:val="0"/>
                  <w:vAlign w:val="center"/>
                </w:tcPr>
                <w:p>
                  <w:pPr>
                    <w:jc w:val="center"/>
                    <w:rPr>
                      <w:rFonts w:hint="default"/>
                      <w:lang w:val="en-US" w:eastAsia="zh-CN"/>
                    </w:rPr>
                  </w:pPr>
                  <w:r>
                    <w:rPr>
                      <w:rFonts w:hint="default"/>
                      <w:lang w:val="en-US" w:eastAsia="zh-CN"/>
                    </w:rPr>
                    <w:t>环境空气综合采样器</w:t>
                  </w:r>
                </w:p>
                <w:p>
                  <w:pPr>
                    <w:widowControl w:val="0"/>
                    <w:jc w:val="center"/>
                    <w:rPr>
                      <w:rFonts w:hint="default"/>
                      <w:lang w:eastAsia="zh-CN"/>
                    </w:rPr>
                  </w:pPr>
                  <w:r>
                    <w:rPr>
                      <w:rFonts w:hint="default"/>
                      <w:lang w:val="en-US" w:eastAsia="zh-CN"/>
                    </w:rPr>
                    <w:t>崂应2050型</w:t>
                  </w: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continue"/>
                  <w:noWrap w:val="0"/>
                  <w:vAlign w:val="center"/>
                </w:tcPr>
                <w:p>
                  <w:pPr>
                    <w:widowControl w:val="0"/>
                    <w:jc w:val="center"/>
                    <w:rPr>
                      <w:rFonts w:hint="default"/>
                    </w:rPr>
                  </w:pPr>
                </w:p>
              </w:tc>
              <w:tc>
                <w:tcPr>
                  <w:tcW w:w="2379" w:type="dxa"/>
                  <w:vMerge w:val="continue"/>
                  <w:noWrap w:val="0"/>
                  <w:vAlign w:val="center"/>
                </w:tcPr>
                <w:p>
                  <w:pPr>
                    <w:widowControl w:val="0"/>
                    <w:jc w:val="center"/>
                    <w:rPr>
                      <w:rFonts w:hint="default"/>
                      <w:lang w:eastAsia="zh-CN"/>
                    </w:rPr>
                  </w:pP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continue"/>
                  <w:noWrap w:val="0"/>
                  <w:vAlign w:val="center"/>
                </w:tcPr>
                <w:p>
                  <w:pPr>
                    <w:widowControl w:val="0"/>
                    <w:jc w:val="center"/>
                    <w:rPr>
                      <w:rFonts w:hint="default"/>
                    </w:rPr>
                  </w:pPr>
                </w:p>
              </w:tc>
              <w:tc>
                <w:tcPr>
                  <w:tcW w:w="2379" w:type="dxa"/>
                  <w:vMerge w:val="continue"/>
                  <w:noWrap w:val="0"/>
                  <w:vAlign w:val="center"/>
                </w:tcPr>
                <w:p>
                  <w:pPr>
                    <w:widowControl w:val="0"/>
                    <w:jc w:val="center"/>
                    <w:rPr>
                      <w:rFonts w:hint="default"/>
                      <w:lang w:eastAsia="zh-CN"/>
                    </w:rPr>
                  </w:pP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restart"/>
                  <w:noWrap w:val="0"/>
                  <w:vAlign w:val="center"/>
                </w:tcPr>
                <w:p>
                  <w:pPr>
                    <w:jc w:val="center"/>
                    <w:rPr>
                      <w:rFonts w:hint="default"/>
                      <w:lang w:val="en-US"/>
                    </w:rPr>
                  </w:pPr>
                  <w:r>
                    <w:rPr>
                      <w:rFonts w:hint="default"/>
                      <w:lang w:val="en-US" w:eastAsia="zh-CN"/>
                    </w:rPr>
                    <w:t>CTS-</w:t>
                  </w:r>
                  <w:r>
                    <w:rPr>
                      <w:rFonts w:hint="eastAsia"/>
                      <w:lang w:val="en-US" w:eastAsia="zh-CN"/>
                    </w:rPr>
                    <w:t>487</w:t>
                  </w:r>
                </w:p>
              </w:tc>
              <w:tc>
                <w:tcPr>
                  <w:tcW w:w="2379" w:type="dxa"/>
                  <w:vMerge w:val="restart"/>
                  <w:noWrap w:val="0"/>
                  <w:vAlign w:val="center"/>
                </w:tcPr>
                <w:p>
                  <w:pPr>
                    <w:jc w:val="center"/>
                    <w:rPr>
                      <w:rFonts w:hint="default"/>
                      <w:lang w:val="en-US" w:eastAsia="zh-CN"/>
                    </w:rPr>
                  </w:pPr>
                  <w:r>
                    <w:rPr>
                      <w:rFonts w:hint="default"/>
                      <w:lang w:val="en-US" w:eastAsia="zh-CN"/>
                    </w:rPr>
                    <w:t>环境空气综合采样器</w:t>
                  </w:r>
                </w:p>
                <w:p>
                  <w:pPr>
                    <w:widowControl w:val="0"/>
                    <w:jc w:val="center"/>
                    <w:rPr>
                      <w:rFonts w:hint="default"/>
                      <w:lang w:eastAsia="zh-CN"/>
                    </w:rPr>
                  </w:pPr>
                  <w:r>
                    <w:rPr>
                      <w:rFonts w:hint="default"/>
                      <w:lang w:val="en-US" w:eastAsia="zh-CN"/>
                    </w:rPr>
                    <w:t>崂应2050型</w:t>
                  </w: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continue"/>
                  <w:noWrap w:val="0"/>
                  <w:vAlign w:val="center"/>
                </w:tcPr>
                <w:p>
                  <w:pPr>
                    <w:widowControl w:val="0"/>
                    <w:jc w:val="center"/>
                    <w:rPr>
                      <w:rFonts w:hint="default"/>
                    </w:rPr>
                  </w:pPr>
                </w:p>
              </w:tc>
              <w:tc>
                <w:tcPr>
                  <w:tcW w:w="2379" w:type="dxa"/>
                  <w:vMerge w:val="continue"/>
                  <w:noWrap w:val="0"/>
                  <w:vAlign w:val="center"/>
                </w:tcPr>
                <w:p>
                  <w:pPr>
                    <w:widowControl w:val="0"/>
                    <w:jc w:val="center"/>
                    <w:rPr>
                      <w:rFonts w:hint="default"/>
                      <w:lang w:eastAsia="zh-CN"/>
                    </w:rPr>
                  </w:pP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14" w:type="dxa"/>
                  <w:vMerge w:val="continue"/>
                  <w:noWrap w:val="0"/>
                  <w:vAlign w:val="center"/>
                </w:tcPr>
                <w:p>
                  <w:pPr>
                    <w:widowControl w:val="0"/>
                    <w:jc w:val="center"/>
                    <w:rPr>
                      <w:rFonts w:hint="default"/>
                    </w:rPr>
                  </w:pPr>
                </w:p>
              </w:tc>
              <w:tc>
                <w:tcPr>
                  <w:tcW w:w="2379" w:type="dxa"/>
                  <w:vMerge w:val="continue"/>
                  <w:noWrap w:val="0"/>
                  <w:vAlign w:val="center"/>
                </w:tcPr>
                <w:p>
                  <w:pPr>
                    <w:widowControl w:val="0"/>
                    <w:jc w:val="center"/>
                    <w:rPr>
                      <w:rFonts w:hint="default"/>
                      <w:lang w:eastAsia="zh-CN"/>
                    </w:rPr>
                  </w:pPr>
                </w:p>
              </w:tc>
              <w:tc>
                <w:tcPr>
                  <w:tcW w:w="1351" w:type="dxa"/>
                  <w:noWrap w:val="0"/>
                  <w:vAlign w:val="center"/>
                </w:tcPr>
                <w:p>
                  <w:pPr>
                    <w:keepNext w:val="0"/>
                    <w:keepLines w:val="0"/>
                    <w:widowControl/>
                    <w:suppressLineNumbers w:val="0"/>
                    <w:jc w:val="center"/>
                    <w:textAlignment w:val="center"/>
                    <w:rPr>
                      <w:rFonts w:hint="default"/>
                      <w:lang w:val="en-US"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1" w:type="dxa"/>
                  <w:noWrap w:val="0"/>
                  <w:vAlign w:val="center"/>
                </w:tcPr>
                <w:p>
                  <w:pPr>
                    <w:keepNext w:val="0"/>
                    <w:keepLines w:val="0"/>
                    <w:widowControl/>
                    <w:suppressLineNumbers w:val="0"/>
                    <w:jc w:val="center"/>
                    <w:textAlignment w:val="center"/>
                    <w:rPr>
                      <w:rFonts w:hint="default"/>
                      <w:lang w:val="zh-CN" w:eastAsia="zh-CN"/>
                    </w:rPr>
                  </w:pPr>
                </w:p>
              </w:tc>
              <w:tc>
                <w:tcPr>
                  <w:tcW w:w="1354" w:type="dxa"/>
                  <w:noWrap w:val="0"/>
                  <w:vAlign w:val="center"/>
                </w:tcPr>
                <w:p>
                  <w:pPr>
                    <w:widowControl w:val="0"/>
                    <w:jc w:val="center"/>
                    <w:rPr>
                      <w:rFonts w:hint="default"/>
                      <w:lang w:val="en-US" w:eastAsia="zh-CN"/>
                    </w:rPr>
                  </w:pPr>
                  <w:r>
                    <w:rPr>
                      <w:rFonts w:hint="default"/>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noWrap w:val="0"/>
                  <w:vAlign w:val="center"/>
                </w:tcPr>
                <w:p>
                  <w:pPr>
                    <w:widowControl w:val="0"/>
                    <w:jc w:val="center"/>
                    <w:rPr>
                      <w:rFonts w:hint="eastAsia"/>
                      <w:lang w:eastAsia="zh-CN"/>
                    </w:rPr>
                  </w:pPr>
                  <w:r>
                    <w:rPr>
                      <w:rFonts w:hint="eastAsia"/>
                      <w:lang w:eastAsia="zh-CN"/>
                    </w:rPr>
                    <w:t>备注</w:t>
                  </w:r>
                </w:p>
              </w:tc>
              <w:tc>
                <w:tcPr>
                  <w:tcW w:w="7786" w:type="dxa"/>
                  <w:gridSpan w:val="5"/>
                  <w:noWrap w:val="0"/>
                  <w:vAlign w:val="center"/>
                </w:tcPr>
                <w:p>
                  <w:pPr>
                    <w:widowControl w:val="0"/>
                    <w:jc w:val="both"/>
                    <w:rPr>
                      <w:rFonts w:hint="default"/>
                      <w:lang w:val="en-US" w:eastAsia="zh-CN"/>
                    </w:rPr>
                  </w:pPr>
                  <w:r>
                    <w:rPr>
                      <w:rFonts w:hint="default"/>
                      <w:lang w:eastAsia="zh-CN"/>
                    </w:rPr>
                    <w:t>校准流量计型号：</w:t>
                  </w:r>
                  <w:r>
                    <w:rPr>
                      <w:rFonts w:hint="eastAsia"/>
                      <w:lang w:val="en-US" w:eastAsia="zh-CN"/>
                    </w:rPr>
                    <w:t>智能高精度综合标准仪崂应8040型。</w:t>
                  </w:r>
                </w:p>
              </w:tc>
            </w:tr>
          </w:tbl>
          <w:p>
            <w:pPr>
              <w:pStyle w:val="9"/>
              <w:bidi w:val="0"/>
              <w:rPr>
                <w:rFonts w:hint="default"/>
                <w:lang w:val="en-US" w:eastAsia="zh-CN"/>
              </w:rPr>
            </w:pP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3  废气空白</w:t>
            </w:r>
            <w:r>
              <w:rPr>
                <w:rFonts w:hint="default"/>
                <w:lang w:val="en-US" w:eastAsia="zh-CN"/>
              </w:rPr>
              <w:t>样汇总</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7"/>
              <w:gridCol w:w="2633"/>
              <w:gridCol w:w="1162"/>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1" w:type="pct"/>
                  <w:noWrap w:val="0"/>
                  <w:vAlign w:val="center"/>
                </w:tcPr>
                <w:p>
                  <w:pPr>
                    <w:jc w:val="center"/>
                    <w:rPr>
                      <w:rFonts w:hint="eastAsia"/>
                      <w:lang w:eastAsia="zh-CN"/>
                    </w:rPr>
                  </w:pPr>
                  <w:r>
                    <w:rPr>
                      <w:rFonts w:hint="default"/>
                    </w:rPr>
                    <w:t>分析项目</w:t>
                  </w:r>
                </w:p>
              </w:tc>
              <w:tc>
                <w:tcPr>
                  <w:tcW w:w="1453" w:type="pct"/>
                  <w:noWrap w:val="0"/>
                  <w:vAlign w:val="center"/>
                </w:tcPr>
                <w:p>
                  <w:pPr>
                    <w:jc w:val="center"/>
                    <w:rPr>
                      <w:rFonts w:hint="eastAsia"/>
                      <w:lang w:eastAsia="zh-CN"/>
                    </w:rPr>
                  </w:pPr>
                  <w:r>
                    <w:rPr>
                      <w:rFonts w:hint="eastAsia"/>
                      <w:lang w:eastAsia="zh-CN"/>
                    </w:rPr>
                    <w:t>空白测试结果</w:t>
                  </w:r>
                  <w:r>
                    <w:rPr>
                      <w:rFonts w:hint="default"/>
                    </w:rPr>
                    <w:t>（</w:t>
                  </w:r>
                  <w:r>
                    <w:rPr>
                      <w:rFonts w:hint="eastAsia"/>
                      <w:lang w:val="en-US" w:eastAsia="zh-CN"/>
                    </w:rPr>
                    <w:t>mg</w:t>
                  </w:r>
                  <w:r>
                    <w:rPr>
                      <w:rFonts w:hint="default"/>
                    </w:rPr>
                    <w:t>）</w:t>
                  </w:r>
                </w:p>
              </w:tc>
              <w:tc>
                <w:tcPr>
                  <w:tcW w:w="641" w:type="pct"/>
                  <w:noWrap w:val="0"/>
                  <w:vAlign w:val="center"/>
                </w:tcPr>
                <w:p>
                  <w:pPr>
                    <w:jc w:val="center"/>
                    <w:rPr>
                      <w:rFonts w:hint="eastAsia"/>
                      <w:lang w:eastAsia="zh-CN"/>
                    </w:rPr>
                  </w:pPr>
                  <w:r>
                    <w:rPr>
                      <w:rFonts w:hint="eastAsia"/>
                      <w:lang w:eastAsia="zh-CN"/>
                    </w:rPr>
                    <w:t>评定结果</w:t>
                  </w:r>
                </w:p>
              </w:tc>
              <w:tc>
                <w:tcPr>
                  <w:tcW w:w="1813" w:type="pct"/>
                  <w:noWrap w:val="0"/>
                  <w:vAlign w:val="center"/>
                </w:tcPr>
                <w:p>
                  <w:pPr>
                    <w:jc w:val="center"/>
                    <w:rPr>
                      <w:rFonts w:hint="eastAsia"/>
                      <w:lang w:eastAsia="zh-CN"/>
                    </w:rP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1" w:type="pct"/>
                  <w:vMerge w:val="restart"/>
                  <w:noWrap w:val="0"/>
                  <w:vAlign w:val="center"/>
                </w:tcPr>
                <w:p>
                  <w:pPr>
                    <w:jc w:val="center"/>
                    <w:rPr>
                      <w:rFonts w:hint="eastAsia"/>
                      <w:lang w:eastAsia="zh-CN"/>
                    </w:rPr>
                  </w:pPr>
                  <w:r>
                    <w:rPr>
                      <w:rFonts w:hint="eastAsia"/>
                      <w:lang w:eastAsia="zh-CN"/>
                    </w:rPr>
                    <w:t>颗粒物</w:t>
                  </w:r>
                </w:p>
              </w:tc>
              <w:tc>
                <w:tcPr>
                  <w:tcW w:w="1453" w:type="pct"/>
                  <w:noWrap w:val="0"/>
                  <w:vAlign w:val="center"/>
                </w:tcPr>
                <w:p>
                  <w:pPr>
                    <w:jc w:val="center"/>
                    <w:rPr>
                      <w:rFonts w:hint="default"/>
                      <w:lang w:val="en-US" w:eastAsia="zh-CN"/>
                    </w:rPr>
                  </w:pPr>
                </w:p>
              </w:tc>
              <w:tc>
                <w:tcPr>
                  <w:tcW w:w="641" w:type="pct"/>
                  <w:noWrap w:val="0"/>
                  <w:vAlign w:val="center"/>
                </w:tcPr>
                <w:p>
                  <w:pPr>
                    <w:jc w:val="center"/>
                    <w:rPr>
                      <w:rFonts w:hint="eastAsia"/>
                      <w:lang w:eastAsia="zh-CN"/>
                    </w:rPr>
                  </w:pPr>
                  <w:r>
                    <w:rPr>
                      <w:rFonts w:hint="eastAsia"/>
                      <w:lang w:eastAsia="zh-CN"/>
                    </w:rPr>
                    <w:t>合格</w:t>
                  </w:r>
                </w:p>
              </w:tc>
              <w:tc>
                <w:tcPr>
                  <w:tcW w:w="1813" w:type="pct"/>
                  <w:vMerge w:val="restart"/>
                  <w:noWrap w:val="0"/>
                  <w:vAlign w:val="center"/>
                </w:tcPr>
                <w:p>
                  <w:pPr>
                    <w:jc w:val="center"/>
                    <w:rPr>
                      <w:rFonts w:hint="default"/>
                      <w:lang w:val="en-US" w:eastAsia="zh-CN"/>
                    </w:rPr>
                  </w:pPr>
                  <w:r>
                    <w:rPr>
                      <w:rFonts w:hint="eastAsia"/>
                      <w:lang w:val="en-US" w:eastAsia="zh-CN"/>
                    </w:rPr>
                    <w:t>-0.5mg</w:t>
                  </w:r>
                  <w:r>
                    <w:rPr>
                      <w:rFonts w:hint="eastAsia"/>
                      <w:lang w:eastAsia="zh-CN"/>
                    </w:rPr>
                    <w:t>≤空白测试结果≤</w:t>
                  </w:r>
                  <w:r>
                    <w:rPr>
                      <w:rFonts w:hint="eastAsia"/>
                      <w:lang w:val="en-US" w:eastAsia="zh-CN"/>
                    </w:rPr>
                    <w:t>0.5mg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1" w:type="pct"/>
                  <w:vMerge w:val="continue"/>
                  <w:noWrap w:val="0"/>
                  <w:vAlign w:val="center"/>
                </w:tcPr>
                <w:p>
                  <w:pPr>
                    <w:jc w:val="center"/>
                    <w:rPr>
                      <w:rFonts w:hint="eastAsia"/>
                      <w:lang w:eastAsia="zh-CN"/>
                    </w:rPr>
                  </w:pPr>
                </w:p>
              </w:tc>
              <w:tc>
                <w:tcPr>
                  <w:tcW w:w="1453" w:type="pct"/>
                  <w:noWrap w:val="0"/>
                  <w:vAlign w:val="center"/>
                </w:tcPr>
                <w:p>
                  <w:pPr>
                    <w:jc w:val="center"/>
                    <w:rPr>
                      <w:rFonts w:hint="default"/>
                      <w:lang w:val="en-US" w:eastAsia="zh-CN"/>
                    </w:rPr>
                  </w:pPr>
                </w:p>
              </w:tc>
              <w:tc>
                <w:tcPr>
                  <w:tcW w:w="641" w:type="pct"/>
                  <w:noWrap w:val="0"/>
                  <w:vAlign w:val="center"/>
                </w:tcPr>
                <w:p>
                  <w:pPr>
                    <w:jc w:val="center"/>
                    <w:rPr>
                      <w:rFonts w:hint="eastAsia"/>
                      <w:lang w:val="en-US" w:eastAsia="zh-CN"/>
                    </w:rPr>
                  </w:pPr>
                  <w:r>
                    <w:rPr>
                      <w:rFonts w:hint="eastAsia"/>
                      <w:lang w:eastAsia="zh-CN"/>
                    </w:rPr>
                    <w:t>合格</w:t>
                  </w:r>
                </w:p>
              </w:tc>
              <w:tc>
                <w:tcPr>
                  <w:tcW w:w="1813" w:type="pct"/>
                  <w:vMerge w:val="continue"/>
                  <w:noWrap w:val="0"/>
                  <w:vAlign w:val="center"/>
                </w:tcPr>
                <w:p>
                  <w:pPr>
                    <w:jc w:val="center"/>
                    <w:rPr>
                      <w:rFonts w:hint="eastAsia"/>
                      <w:lang w:val="en-US" w:eastAsia="zh-CN"/>
                    </w:rPr>
                  </w:pPr>
                </w:p>
              </w:tc>
            </w:tr>
          </w:tbl>
          <w:p>
            <w:pPr>
              <w:pStyle w:val="7"/>
              <w:bidi w:val="0"/>
              <w:rPr>
                <w:rFonts w:hint="default"/>
                <w:lang w:val="en-US" w:eastAsia="zh-CN"/>
              </w:rPr>
            </w:pPr>
            <w:r>
              <w:rPr>
                <w:rFonts w:hint="default"/>
                <w:lang w:val="en-US" w:eastAsia="zh-CN"/>
              </w:rPr>
              <w:t>5.2.</w:t>
            </w:r>
            <w:r>
              <w:rPr>
                <w:rFonts w:hint="eastAsia"/>
                <w:lang w:val="en-US" w:eastAsia="zh-CN"/>
              </w:rPr>
              <w:t>2废水</w:t>
            </w:r>
            <w:r>
              <w:rPr>
                <w:rFonts w:hint="default"/>
                <w:lang w:val="en-US" w:eastAsia="zh-CN"/>
              </w:rPr>
              <w:t>质量控制</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sz w:val="24"/>
                <w:szCs w:val="24"/>
                <w:lang w:val="en-US" w:eastAsia="zh-CN"/>
              </w:rPr>
            </w:pPr>
            <w:r>
              <w:rPr>
                <w:rFonts w:hint="default"/>
                <w:sz w:val="24"/>
                <w:szCs w:val="24"/>
                <w:lang w:eastAsia="zh-CN"/>
              </w:rPr>
              <w:t>此次</w:t>
            </w:r>
            <w:r>
              <w:rPr>
                <w:rFonts w:hint="eastAsia"/>
                <w:sz w:val="24"/>
                <w:szCs w:val="24"/>
                <w:lang w:val="en-US" w:eastAsia="zh-CN"/>
              </w:rPr>
              <w:t>验收检测废水质控样汇总</w:t>
            </w:r>
            <w:r>
              <w:rPr>
                <w:rFonts w:hint="default"/>
                <w:sz w:val="24"/>
                <w:szCs w:val="24"/>
                <w:lang w:eastAsia="zh-CN"/>
              </w:rPr>
              <w:t>见表</w:t>
            </w:r>
            <w:r>
              <w:rPr>
                <w:rFonts w:hint="default"/>
                <w:sz w:val="24"/>
                <w:szCs w:val="24"/>
                <w:lang w:val="en-US" w:eastAsia="zh-CN"/>
              </w:rPr>
              <w:t>5.</w:t>
            </w:r>
            <w:r>
              <w:rPr>
                <w:rFonts w:hint="eastAsia"/>
                <w:sz w:val="24"/>
                <w:szCs w:val="24"/>
                <w:lang w:val="en-US" w:eastAsia="zh-CN"/>
              </w:rPr>
              <w:t>2</w:t>
            </w:r>
            <w:r>
              <w:rPr>
                <w:rFonts w:hint="default"/>
                <w:sz w:val="24"/>
                <w:szCs w:val="24"/>
                <w:lang w:eastAsia="zh-CN"/>
              </w:rPr>
              <w:t>-</w:t>
            </w:r>
            <w:r>
              <w:rPr>
                <w:rFonts w:hint="eastAsia"/>
                <w:sz w:val="24"/>
                <w:szCs w:val="24"/>
                <w:lang w:val="en-US" w:eastAsia="zh-CN"/>
              </w:rPr>
              <w:t>4</w:t>
            </w:r>
            <w:r>
              <w:rPr>
                <w:rFonts w:hint="eastAsia"/>
                <w:sz w:val="24"/>
                <w:szCs w:val="24"/>
                <w:lang w:eastAsia="zh-CN"/>
              </w:rPr>
              <w:t>、</w:t>
            </w:r>
            <w:r>
              <w:rPr>
                <w:rFonts w:hint="eastAsia"/>
                <w:sz w:val="24"/>
                <w:szCs w:val="24"/>
                <w:lang w:val="en-US" w:eastAsia="zh-CN"/>
              </w:rPr>
              <w:t>采样平行样汇总见表</w:t>
            </w:r>
            <w:r>
              <w:rPr>
                <w:rFonts w:hint="default"/>
                <w:sz w:val="24"/>
                <w:szCs w:val="24"/>
                <w:lang w:val="en-US" w:eastAsia="zh-CN"/>
              </w:rPr>
              <w:t>5.</w:t>
            </w:r>
            <w:r>
              <w:rPr>
                <w:rFonts w:hint="eastAsia"/>
                <w:sz w:val="24"/>
                <w:szCs w:val="24"/>
                <w:lang w:val="en-US" w:eastAsia="zh-CN"/>
              </w:rPr>
              <w:t>2</w:t>
            </w:r>
            <w:r>
              <w:rPr>
                <w:rFonts w:hint="default"/>
                <w:sz w:val="24"/>
                <w:szCs w:val="24"/>
                <w:lang w:eastAsia="zh-CN"/>
              </w:rPr>
              <w:t>-</w:t>
            </w:r>
            <w:r>
              <w:rPr>
                <w:rFonts w:hint="eastAsia"/>
                <w:sz w:val="24"/>
                <w:szCs w:val="24"/>
                <w:lang w:val="en-US" w:eastAsia="zh-CN"/>
              </w:rPr>
              <w:t>5</w:t>
            </w:r>
            <w:r>
              <w:rPr>
                <w:rFonts w:hint="eastAsia"/>
                <w:sz w:val="24"/>
                <w:szCs w:val="24"/>
                <w:lang w:eastAsia="zh-CN"/>
              </w:rPr>
              <w:t>、</w:t>
            </w:r>
            <w:r>
              <w:rPr>
                <w:rFonts w:hint="eastAsia"/>
                <w:sz w:val="24"/>
                <w:szCs w:val="24"/>
                <w:lang w:val="en-US" w:eastAsia="zh-CN"/>
              </w:rPr>
              <w:t>实验室平行样汇总见表</w:t>
            </w:r>
            <w:r>
              <w:rPr>
                <w:rFonts w:hint="default"/>
                <w:sz w:val="24"/>
                <w:szCs w:val="24"/>
                <w:lang w:val="en-US" w:eastAsia="zh-CN"/>
              </w:rPr>
              <w:t>5.</w:t>
            </w:r>
            <w:r>
              <w:rPr>
                <w:rFonts w:hint="eastAsia"/>
                <w:sz w:val="24"/>
                <w:szCs w:val="24"/>
                <w:lang w:val="en-US" w:eastAsia="zh-CN"/>
              </w:rPr>
              <w:t>2</w:t>
            </w:r>
            <w:r>
              <w:rPr>
                <w:rFonts w:hint="default"/>
                <w:sz w:val="24"/>
                <w:szCs w:val="24"/>
                <w:lang w:eastAsia="zh-CN"/>
              </w:rPr>
              <w:t>-</w:t>
            </w:r>
            <w:r>
              <w:rPr>
                <w:rFonts w:hint="eastAsia"/>
                <w:sz w:val="24"/>
                <w:szCs w:val="24"/>
                <w:lang w:val="en-US" w:eastAsia="zh-CN"/>
              </w:rPr>
              <w:t>6、全程序空白样汇总见表</w:t>
            </w:r>
            <w:r>
              <w:rPr>
                <w:rFonts w:hint="default"/>
                <w:sz w:val="24"/>
                <w:szCs w:val="24"/>
                <w:lang w:val="en-US" w:eastAsia="zh-CN"/>
              </w:rPr>
              <w:t>5.</w:t>
            </w:r>
            <w:r>
              <w:rPr>
                <w:rFonts w:hint="eastAsia"/>
                <w:sz w:val="24"/>
                <w:szCs w:val="24"/>
                <w:lang w:val="en-US" w:eastAsia="zh-CN"/>
              </w:rPr>
              <w:t>2</w:t>
            </w:r>
            <w:r>
              <w:rPr>
                <w:rFonts w:hint="default"/>
                <w:sz w:val="24"/>
                <w:szCs w:val="24"/>
                <w:lang w:eastAsia="zh-CN"/>
              </w:rPr>
              <w:t>-</w:t>
            </w:r>
            <w:r>
              <w:rPr>
                <w:rFonts w:hint="eastAsia"/>
                <w:sz w:val="24"/>
                <w:szCs w:val="24"/>
                <w:lang w:val="en-US" w:eastAsia="zh-CN"/>
              </w:rPr>
              <w:t>7</w:t>
            </w:r>
            <w:r>
              <w:rPr>
                <w:rFonts w:hint="default"/>
                <w:sz w:val="24"/>
                <w:szCs w:val="24"/>
                <w:lang w:val="en-US" w:eastAsia="zh-CN"/>
              </w:rPr>
              <w:t>。</w:t>
            </w:r>
          </w:p>
          <w:p>
            <w:pPr>
              <w:pStyle w:val="9"/>
              <w:bidi w:val="0"/>
              <w:rPr>
                <w:rFonts w:hint="default"/>
                <w:lang w:val="en-US" w:eastAsia="zh-CN"/>
              </w:rPr>
            </w:pP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4  废水</w:t>
            </w:r>
            <w:r>
              <w:rPr>
                <w:rFonts w:hint="default"/>
                <w:lang w:val="en-US" w:eastAsia="zh-CN"/>
              </w:rPr>
              <w:t>质控样汇总</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1802"/>
              <w:gridCol w:w="1818"/>
              <w:gridCol w:w="1792"/>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5" w:type="pct"/>
                  <w:vMerge w:val="restart"/>
                  <w:tcBorders>
                    <w:top w:val="single" w:color="auto" w:sz="4" w:space="0"/>
                    <w:left w:val="single" w:color="auto" w:sz="4" w:space="0"/>
                    <w:bottom w:val="single" w:color="auto" w:sz="4" w:space="0"/>
                    <w:right w:val="nil"/>
                  </w:tcBorders>
                  <w:noWrap w:val="0"/>
                  <w:vAlign w:val="center"/>
                </w:tcPr>
                <w:p>
                  <w:pPr>
                    <w:jc w:val="center"/>
                    <w:rPr>
                      <w:rFonts w:hint="default"/>
                    </w:rPr>
                  </w:pPr>
                  <w:r>
                    <w:rPr>
                      <w:rFonts w:hint="default"/>
                    </w:rPr>
                    <w:t>分析项目</w:t>
                  </w:r>
                </w:p>
              </w:tc>
              <w:tc>
                <w:tcPr>
                  <w:tcW w:w="3944"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default"/>
                    </w:rPr>
                    <w:t>质控措施和质控样数量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5" w:type="pct"/>
                  <w:vMerge w:val="continue"/>
                  <w:tcBorders>
                    <w:top w:val="single" w:color="auto" w:sz="4" w:space="0"/>
                    <w:left w:val="single" w:color="auto" w:sz="4" w:space="0"/>
                    <w:bottom w:val="single" w:color="auto" w:sz="4" w:space="0"/>
                  </w:tcBorders>
                  <w:noWrap w:val="0"/>
                  <w:vAlign w:val="center"/>
                </w:tcPr>
                <w:p>
                  <w:pPr>
                    <w:jc w:val="center"/>
                    <w:rPr>
                      <w:rFonts w:hint="default"/>
                    </w:rPr>
                  </w:pPr>
                </w:p>
              </w:tc>
              <w:tc>
                <w:tcPr>
                  <w:tcW w:w="994" w:type="pct"/>
                  <w:tcBorders>
                    <w:top w:val="single" w:color="auto" w:sz="4" w:space="0"/>
                    <w:bottom w:val="single" w:color="auto" w:sz="4" w:space="0"/>
                  </w:tcBorders>
                  <w:noWrap w:val="0"/>
                  <w:vAlign w:val="center"/>
                </w:tcPr>
                <w:p>
                  <w:pPr>
                    <w:jc w:val="center"/>
                    <w:rPr>
                      <w:rFonts w:hint="default"/>
                    </w:rPr>
                  </w:pPr>
                  <w:r>
                    <w:rPr>
                      <w:rFonts w:hint="default"/>
                    </w:rPr>
                    <w:t>控样批号</w:t>
                  </w:r>
                </w:p>
              </w:tc>
              <w:tc>
                <w:tcPr>
                  <w:tcW w:w="1003" w:type="pct"/>
                  <w:tcBorders>
                    <w:top w:val="single" w:color="auto" w:sz="4" w:space="0"/>
                    <w:bottom w:val="single" w:color="auto" w:sz="4" w:space="0"/>
                  </w:tcBorders>
                  <w:noWrap w:val="0"/>
                  <w:vAlign w:val="center"/>
                </w:tcPr>
                <w:p>
                  <w:pPr>
                    <w:jc w:val="center"/>
                    <w:rPr>
                      <w:rFonts w:hint="default"/>
                    </w:rPr>
                  </w:pPr>
                  <w:r>
                    <w:rPr>
                      <w:rFonts w:hint="default"/>
                    </w:rPr>
                    <w:t>控样值（mg/</w:t>
                  </w:r>
                  <w:r>
                    <w:rPr>
                      <w:rFonts w:hint="default"/>
                      <w:lang w:val="en-US" w:eastAsia="zh-CN"/>
                    </w:rPr>
                    <w:t>L</w:t>
                  </w:r>
                  <w:r>
                    <w:rPr>
                      <w:rFonts w:hint="default"/>
                    </w:rPr>
                    <w:t>）</w:t>
                  </w:r>
                </w:p>
              </w:tc>
              <w:tc>
                <w:tcPr>
                  <w:tcW w:w="989" w:type="pct"/>
                  <w:tcBorders>
                    <w:top w:val="single" w:color="auto" w:sz="4" w:space="0"/>
                    <w:bottom w:val="single" w:color="auto" w:sz="4" w:space="0"/>
                  </w:tcBorders>
                  <w:noWrap w:val="0"/>
                  <w:vAlign w:val="center"/>
                </w:tcPr>
                <w:p>
                  <w:pPr>
                    <w:jc w:val="center"/>
                    <w:rPr>
                      <w:rFonts w:hint="default"/>
                    </w:rPr>
                  </w:pPr>
                  <w:r>
                    <w:rPr>
                      <w:rFonts w:hint="default"/>
                    </w:rPr>
                    <w:t>测定值（mg/</w:t>
                  </w:r>
                  <w:r>
                    <w:rPr>
                      <w:rFonts w:hint="default"/>
                      <w:lang w:val="en-US" w:eastAsia="zh-CN"/>
                    </w:rPr>
                    <w:t>L</w:t>
                  </w:r>
                  <w:r>
                    <w:rPr>
                      <w:rFonts w:hint="default"/>
                    </w:rPr>
                    <w:t>）</w:t>
                  </w:r>
                </w:p>
              </w:tc>
              <w:tc>
                <w:tcPr>
                  <w:tcW w:w="957" w:type="pct"/>
                  <w:tcBorders>
                    <w:top w:val="single" w:color="auto" w:sz="4" w:space="0"/>
                    <w:bottom w:val="single" w:color="auto" w:sz="4" w:space="0"/>
                  </w:tcBorders>
                  <w:noWrap w:val="0"/>
                  <w:vAlign w:val="center"/>
                </w:tcPr>
                <w:p>
                  <w:pPr>
                    <w:jc w:val="center"/>
                    <w:rPr>
                      <w:rFonts w:hint="default"/>
                      <w:lang w:val="en-US" w:eastAsia="zh-CN"/>
                    </w:rPr>
                  </w:pPr>
                  <w:r>
                    <w:rPr>
                      <w:rFonts w:hint="default"/>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5" w:type="pct"/>
                  <w:tcBorders>
                    <w:top w:val="single" w:color="auto" w:sz="4" w:space="0"/>
                    <w:left w:val="single" w:color="auto" w:sz="4" w:space="0"/>
                    <w:bottom w:val="single" w:color="auto" w:sz="4" w:space="0"/>
                  </w:tcBorders>
                  <w:noWrap w:val="0"/>
                  <w:vAlign w:val="center"/>
                </w:tcPr>
                <w:p>
                  <w:pPr>
                    <w:spacing w:line="240" w:lineRule="auto"/>
                    <w:jc w:val="center"/>
                    <w:rPr>
                      <w:rFonts w:hint="default"/>
                      <w:lang w:val="en-US" w:eastAsia="zh-CN"/>
                    </w:rPr>
                  </w:pPr>
                  <w:r>
                    <w:rPr>
                      <w:rFonts w:hint="eastAsia"/>
                      <w:lang w:val="en-US" w:eastAsia="zh-CN"/>
                    </w:rPr>
                    <w:t>氨氮</w:t>
                  </w:r>
                </w:p>
              </w:tc>
              <w:tc>
                <w:tcPr>
                  <w:tcW w:w="994" w:type="pct"/>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lang w:val="en-US" w:eastAsia="zh-CN"/>
                    </w:rPr>
                  </w:pPr>
                </w:p>
              </w:tc>
              <w:tc>
                <w:tcPr>
                  <w:tcW w:w="1003" w:type="pct"/>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lang w:val="en-US" w:eastAsia="zh-CN"/>
                    </w:rPr>
                  </w:pPr>
                </w:p>
              </w:tc>
              <w:tc>
                <w:tcPr>
                  <w:tcW w:w="989" w:type="pct"/>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lang w:val="en-US" w:eastAsia="zh-CN"/>
                    </w:rPr>
                  </w:pPr>
                </w:p>
              </w:tc>
              <w:tc>
                <w:tcPr>
                  <w:tcW w:w="957" w:type="pct"/>
                  <w:tcBorders>
                    <w:top w:val="single" w:color="auto" w:sz="4" w:space="0"/>
                    <w:bottom w:val="single" w:color="auto" w:sz="4" w:space="0"/>
                  </w:tcBorders>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5" w:type="pct"/>
                  <w:vMerge w:val="restart"/>
                  <w:noWrap w:val="0"/>
                  <w:vAlign w:val="center"/>
                </w:tcPr>
                <w:p>
                  <w:pPr>
                    <w:spacing w:line="240" w:lineRule="auto"/>
                    <w:jc w:val="center"/>
                    <w:rPr>
                      <w:rFonts w:hint="default"/>
                      <w:lang w:val="en-US" w:eastAsia="zh-CN"/>
                    </w:rPr>
                  </w:pPr>
                  <w:r>
                    <w:rPr>
                      <w:rFonts w:hint="eastAsia"/>
                      <w:lang w:val="en-US" w:eastAsia="zh-CN"/>
                    </w:rPr>
                    <w:t>总磷</w:t>
                  </w:r>
                </w:p>
              </w:tc>
              <w:tc>
                <w:tcPr>
                  <w:tcW w:w="994" w:type="pct"/>
                  <w:vMerge w:val="restart"/>
                  <w:noWrap w:val="0"/>
                  <w:vAlign w:val="center"/>
                </w:tcPr>
                <w:p>
                  <w:pPr>
                    <w:keepNext w:val="0"/>
                    <w:keepLines w:val="0"/>
                    <w:widowControl/>
                    <w:suppressLineNumbers w:val="0"/>
                    <w:jc w:val="center"/>
                    <w:textAlignment w:val="center"/>
                    <w:rPr>
                      <w:rFonts w:hint="default"/>
                      <w:lang w:val="en-US" w:eastAsia="zh-CN"/>
                    </w:rPr>
                  </w:pPr>
                </w:p>
              </w:tc>
              <w:tc>
                <w:tcPr>
                  <w:tcW w:w="1003" w:type="pct"/>
                  <w:vMerge w:val="restart"/>
                  <w:noWrap w:val="0"/>
                  <w:vAlign w:val="center"/>
                </w:tcPr>
                <w:p>
                  <w:pPr>
                    <w:keepNext w:val="0"/>
                    <w:keepLines w:val="0"/>
                    <w:widowControl/>
                    <w:suppressLineNumbers w:val="0"/>
                    <w:jc w:val="center"/>
                    <w:textAlignment w:val="center"/>
                    <w:rPr>
                      <w:rFonts w:hint="default"/>
                      <w:lang w:val="en-US" w:eastAsia="zh-CN"/>
                    </w:rPr>
                  </w:pPr>
                </w:p>
              </w:tc>
              <w:tc>
                <w:tcPr>
                  <w:tcW w:w="989" w:type="pct"/>
                  <w:noWrap w:val="0"/>
                  <w:vAlign w:val="top"/>
                </w:tcPr>
                <w:p>
                  <w:pPr>
                    <w:keepNext w:val="0"/>
                    <w:keepLines w:val="0"/>
                    <w:widowControl/>
                    <w:suppressLineNumbers w:val="0"/>
                    <w:jc w:val="center"/>
                    <w:textAlignment w:val="center"/>
                    <w:rPr>
                      <w:rFonts w:hint="default"/>
                      <w:lang w:val="en-US" w:eastAsia="zh-CN"/>
                    </w:rPr>
                  </w:pPr>
                </w:p>
              </w:tc>
              <w:tc>
                <w:tcPr>
                  <w:tcW w:w="957" w:type="pct"/>
                  <w:vMerge w:val="restart"/>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5" w:type="pct"/>
                  <w:vMerge w:val="continue"/>
                  <w:noWrap w:val="0"/>
                  <w:vAlign w:val="center"/>
                </w:tcPr>
                <w:p>
                  <w:pPr>
                    <w:keepNext w:val="0"/>
                    <w:keepLines w:val="0"/>
                    <w:widowControl/>
                    <w:suppressLineNumbers w:val="0"/>
                    <w:jc w:val="center"/>
                    <w:textAlignment w:val="center"/>
                  </w:pPr>
                </w:p>
              </w:tc>
              <w:tc>
                <w:tcPr>
                  <w:tcW w:w="994" w:type="pct"/>
                  <w:vMerge w:val="continue"/>
                  <w:noWrap w:val="0"/>
                  <w:vAlign w:val="center"/>
                </w:tcPr>
                <w:p>
                  <w:pPr>
                    <w:keepNext w:val="0"/>
                    <w:keepLines w:val="0"/>
                    <w:widowControl/>
                    <w:suppressLineNumbers w:val="0"/>
                    <w:jc w:val="center"/>
                    <w:textAlignment w:val="center"/>
                  </w:pPr>
                </w:p>
              </w:tc>
              <w:tc>
                <w:tcPr>
                  <w:tcW w:w="1003" w:type="pct"/>
                  <w:vMerge w:val="continue"/>
                  <w:noWrap w:val="0"/>
                  <w:vAlign w:val="center"/>
                </w:tcPr>
                <w:p>
                  <w:pPr>
                    <w:keepNext w:val="0"/>
                    <w:keepLines w:val="0"/>
                    <w:widowControl/>
                    <w:suppressLineNumbers w:val="0"/>
                    <w:jc w:val="center"/>
                    <w:textAlignment w:val="center"/>
                  </w:pPr>
                </w:p>
              </w:tc>
              <w:tc>
                <w:tcPr>
                  <w:tcW w:w="989" w:type="pct"/>
                  <w:noWrap w:val="0"/>
                  <w:vAlign w:val="top"/>
                </w:tcPr>
                <w:p>
                  <w:pPr>
                    <w:keepNext w:val="0"/>
                    <w:keepLines w:val="0"/>
                    <w:widowControl/>
                    <w:suppressLineNumbers w:val="0"/>
                    <w:jc w:val="center"/>
                    <w:textAlignment w:val="center"/>
                    <w:rPr>
                      <w:rFonts w:hint="default"/>
                      <w:lang w:val="en-US" w:eastAsia="zh-CN"/>
                    </w:rPr>
                  </w:pPr>
                </w:p>
              </w:tc>
              <w:tc>
                <w:tcPr>
                  <w:tcW w:w="957" w:type="pct"/>
                  <w:vMerge w:val="continue"/>
                  <w:noWrap w:val="0"/>
                  <w:vAlign w:val="center"/>
                </w:tcPr>
                <w:p>
                  <w:pPr>
                    <w:keepNext w:val="0"/>
                    <w:keepLines w:val="0"/>
                    <w:widowControl/>
                    <w:suppressLineNumbers w:val="0"/>
                    <w:jc w:val="center"/>
                    <w:textAlignment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5" w:type="pct"/>
                  <w:noWrap w:val="0"/>
                  <w:vAlign w:val="center"/>
                </w:tcPr>
                <w:p>
                  <w:pPr>
                    <w:spacing w:line="240" w:lineRule="auto"/>
                    <w:jc w:val="center"/>
                    <w:rPr>
                      <w:rFonts w:hint="default"/>
                      <w:lang w:val="en-US" w:eastAsia="zh-CN"/>
                    </w:rPr>
                  </w:pPr>
                  <w:r>
                    <w:rPr>
                      <w:rFonts w:hint="eastAsia"/>
                      <w:lang w:val="en-US" w:eastAsia="zh-CN"/>
                    </w:rPr>
                    <w:t>化学需氧量</w:t>
                  </w:r>
                </w:p>
              </w:tc>
              <w:tc>
                <w:tcPr>
                  <w:tcW w:w="994" w:type="pct"/>
                  <w:noWrap w:val="0"/>
                  <w:vAlign w:val="center"/>
                </w:tcPr>
                <w:p>
                  <w:pPr>
                    <w:keepNext w:val="0"/>
                    <w:keepLines w:val="0"/>
                    <w:widowControl/>
                    <w:suppressLineNumbers w:val="0"/>
                    <w:jc w:val="center"/>
                    <w:textAlignment w:val="center"/>
                    <w:rPr>
                      <w:rFonts w:hint="default"/>
                      <w:lang w:val="en-US" w:eastAsia="zh-CN"/>
                    </w:rPr>
                  </w:pPr>
                </w:p>
              </w:tc>
              <w:tc>
                <w:tcPr>
                  <w:tcW w:w="1003" w:type="pct"/>
                  <w:noWrap w:val="0"/>
                  <w:vAlign w:val="center"/>
                </w:tcPr>
                <w:p>
                  <w:pPr>
                    <w:keepNext w:val="0"/>
                    <w:keepLines w:val="0"/>
                    <w:widowControl/>
                    <w:suppressLineNumbers w:val="0"/>
                    <w:jc w:val="center"/>
                    <w:textAlignment w:val="center"/>
                    <w:rPr>
                      <w:rFonts w:hint="default"/>
                      <w:lang w:val="en-US" w:eastAsia="zh-CN"/>
                    </w:rPr>
                  </w:pPr>
                </w:p>
              </w:tc>
              <w:tc>
                <w:tcPr>
                  <w:tcW w:w="989" w:type="pct"/>
                  <w:noWrap w:val="0"/>
                  <w:vAlign w:val="top"/>
                </w:tcPr>
                <w:p>
                  <w:pPr>
                    <w:keepNext w:val="0"/>
                    <w:keepLines w:val="0"/>
                    <w:widowControl/>
                    <w:suppressLineNumbers w:val="0"/>
                    <w:jc w:val="center"/>
                    <w:textAlignment w:val="center"/>
                    <w:rPr>
                      <w:rFonts w:hint="default"/>
                      <w:lang w:val="en-US" w:eastAsia="zh-CN"/>
                    </w:rPr>
                  </w:pPr>
                </w:p>
              </w:tc>
              <w:tc>
                <w:tcPr>
                  <w:tcW w:w="957" w:type="pct"/>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5" w:type="pct"/>
                  <w:vMerge w:val="restart"/>
                  <w:noWrap w:val="0"/>
                  <w:vAlign w:val="center"/>
                </w:tcPr>
                <w:p>
                  <w:pPr>
                    <w:spacing w:line="240" w:lineRule="auto"/>
                    <w:jc w:val="center"/>
                    <w:rPr>
                      <w:rFonts w:hint="default"/>
                      <w:lang w:val="en-US" w:eastAsia="zh-CN"/>
                    </w:rPr>
                  </w:pPr>
                  <w:r>
                    <w:rPr>
                      <w:rFonts w:hint="eastAsia"/>
                      <w:lang w:val="en-US" w:eastAsia="zh-CN"/>
                    </w:rPr>
                    <w:t>五日生化需氧量</w:t>
                  </w:r>
                </w:p>
              </w:tc>
              <w:tc>
                <w:tcPr>
                  <w:tcW w:w="994" w:type="pct"/>
                  <w:vMerge w:val="restart"/>
                  <w:noWrap w:val="0"/>
                  <w:vAlign w:val="center"/>
                </w:tcPr>
                <w:p>
                  <w:pPr>
                    <w:keepNext w:val="0"/>
                    <w:keepLines w:val="0"/>
                    <w:widowControl/>
                    <w:suppressLineNumbers w:val="0"/>
                    <w:jc w:val="center"/>
                    <w:textAlignment w:val="center"/>
                    <w:rPr>
                      <w:rFonts w:hint="default"/>
                      <w:lang w:val="en-US" w:eastAsia="zh-CN"/>
                    </w:rPr>
                  </w:pPr>
                </w:p>
              </w:tc>
              <w:tc>
                <w:tcPr>
                  <w:tcW w:w="1003" w:type="pct"/>
                  <w:vMerge w:val="restart"/>
                  <w:noWrap w:val="0"/>
                  <w:vAlign w:val="center"/>
                </w:tcPr>
                <w:p>
                  <w:pPr>
                    <w:keepNext w:val="0"/>
                    <w:keepLines w:val="0"/>
                    <w:widowControl/>
                    <w:suppressLineNumbers w:val="0"/>
                    <w:jc w:val="center"/>
                    <w:textAlignment w:val="center"/>
                    <w:rPr>
                      <w:rFonts w:hint="default"/>
                      <w:lang w:val="en-US" w:eastAsia="zh-CN"/>
                    </w:rPr>
                  </w:pPr>
                </w:p>
              </w:tc>
              <w:tc>
                <w:tcPr>
                  <w:tcW w:w="989" w:type="pct"/>
                  <w:noWrap w:val="0"/>
                  <w:vAlign w:val="top"/>
                </w:tcPr>
                <w:p>
                  <w:pPr>
                    <w:keepNext w:val="0"/>
                    <w:keepLines w:val="0"/>
                    <w:widowControl/>
                    <w:suppressLineNumbers w:val="0"/>
                    <w:jc w:val="center"/>
                    <w:textAlignment w:val="center"/>
                    <w:rPr>
                      <w:rFonts w:hint="default"/>
                      <w:lang w:val="en-US" w:eastAsia="zh-CN"/>
                    </w:rPr>
                  </w:pPr>
                </w:p>
              </w:tc>
              <w:tc>
                <w:tcPr>
                  <w:tcW w:w="957" w:type="pct"/>
                  <w:vMerge w:val="restart"/>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5" w:type="pct"/>
                  <w:vMerge w:val="continue"/>
                  <w:noWrap w:val="0"/>
                  <w:vAlign w:val="center"/>
                </w:tcPr>
                <w:p>
                  <w:pPr>
                    <w:keepNext w:val="0"/>
                    <w:keepLines w:val="0"/>
                    <w:widowControl/>
                    <w:suppressLineNumbers w:val="0"/>
                    <w:jc w:val="center"/>
                    <w:textAlignment w:val="center"/>
                  </w:pPr>
                </w:p>
              </w:tc>
              <w:tc>
                <w:tcPr>
                  <w:tcW w:w="994" w:type="pct"/>
                  <w:vMerge w:val="continue"/>
                  <w:noWrap w:val="0"/>
                  <w:vAlign w:val="center"/>
                </w:tcPr>
                <w:p>
                  <w:pPr>
                    <w:keepNext w:val="0"/>
                    <w:keepLines w:val="0"/>
                    <w:widowControl/>
                    <w:suppressLineNumbers w:val="0"/>
                    <w:jc w:val="center"/>
                    <w:textAlignment w:val="center"/>
                  </w:pPr>
                </w:p>
              </w:tc>
              <w:tc>
                <w:tcPr>
                  <w:tcW w:w="1003" w:type="pct"/>
                  <w:vMerge w:val="continue"/>
                  <w:noWrap w:val="0"/>
                  <w:vAlign w:val="center"/>
                </w:tcPr>
                <w:p>
                  <w:pPr>
                    <w:keepNext w:val="0"/>
                    <w:keepLines w:val="0"/>
                    <w:widowControl/>
                    <w:suppressLineNumbers w:val="0"/>
                    <w:jc w:val="center"/>
                    <w:textAlignment w:val="center"/>
                  </w:pPr>
                </w:p>
              </w:tc>
              <w:tc>
                <w:tcPr>
                  <w:tcW w:w="989" w:type="pct"/>
                  <w:noWrap w:val="0"/>
                  <w:vAlign w:val="top"/>
                </w:tcPr>
                <w:p>
                  <w:pPr>
                    <w:keepNext w:val="0"/>
                    <w:keepLines w:val="0"/>
                    <w:widowControl/>
                    <w:suppressLineNumbers w:val="0"/>
                    <w:jc w:val="center"/>
                    <w:textAlignment w:val="center"/>
                    <w:rPr>
                      <w:rFonts w:hint="default"/>
                      <w:lang w:val="en-US" w:eastAsia="zh-CN"/>
                    </w:rPr>
                  </w:pPr>
                </w:p>
              </w:tc>
              <w:tc>
                <w:tcPr>
                  <w:tcW w:w="957" w:type="pct"/>
                  <w:vMerge w:val="continue"/>
                  <w:noWrap w:val="0"/>
                  <w:vAlign w:val="center"/>
                </w:tcPr>
                <w:p>
                  <w:pPr>
                    <w:keepNext w:val="0"/>
                    <w:keepLines w:val="0"/>
                    <w:widowControl/>
                    <w:suppressLineNumbers w:val="0"/>
                    <w:jc w:val="center"/>
                    <w:textAlignment w:val="center"/>
                    <w:rPr>
                      <w:rFonts w:hint="eastAsia"/>
                      <w:lang w:val="en-US" w:eastAsia="zh-CN"/>
                    </w:rPr>
                  </w:pPr>
                </w:p>
              </w:tc>
            </w:tr>
          </w:tbl>
          <w:p>
            <w:pPr>
              <w:pStyle w:val="9"/>
              <w:bidi w:val="0"/>
              <w:rPr>
                <w:rFonts w:hint="default"/>
                <w:lang w:val="en-US" w:eastAsia="zh-CN"/>
              </w:rPr>
            </w:pP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5  废水采样</w:t>
            </w:r>
            <w:r>
              <w:rPr>
                <w:rFonts w:hint="default"/>
                <w:lang w:val="en-US" w:eastAsia="zh-CN"/>
              </w:rPr>
              <w:t>平行样汇总</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4"/>
              <w:gridCol w:w="1308"/>
              <w:gridCol w:w="1484"/>
              <w:gridCol w:w="1492"/>
              <w:gridCol w:w="1492"/>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60" w:type="dxa"/>
                  <w:vMerge w:val="restart"/>
                  <w:tcBorders>
                    <w:top w:val="single" w:color="auto" w:sz="4" w:space="0"/>
                    <w:left w:val="single" w:color="auto" w:sz="4" w:space="0"/>
                    <w:bottom w:val="single" w:color="auto" w:sz="4" w:space="0"/>
                    <w:right w:val="nil"/>
                  </w:tcBorders>
                  <w:noWrap w:val="0"/>
                  <w:vAlign w:val="center"/>
                </w:tcPr>
                <w:p>
                  <w:pPr>
                    <w:jc w:val="center"/>
                    <w:rPr>
                      <w:rFonts w:hint="default"/>
                    </w:rPr>
                  </w:pPr>
                  <w:r>
                    <w:rPr>
                      <w:rFonts w:hint="default"/>
                    </w:rPr>
                    <w:t>分析项目</w:t>
                  </w:r>
                </w:p>
              </w:tc>
              <w:tc>
                <w:tcPr>
                  <w:tcW w:w="7499"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rPr>
                  </w:pPr>
                  <w:r>
                    <w:rPr>
                      <w:rFonts w:hint="default"/>
                    </w:rPr>
                    <w:t>质控措施和质控样数量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60" w:type="dxa"/>
                  <w:vMerge w:val="continue"/>
                  <w:tcBorders>
                    <w:top w:val="single" w:color="auto" w:sz="4" w:space="0"/>
                    <w:left w:val="single" w:color="auto" w:sz="4" w:space="0"/>
                  </w:tcBorders>
                  <w:noWrap w:val="0"/>
                  <w:vAlign w:val="center"/>
                </w:tcPr>
                <w:p>
                  <w:pPr>
                    <w:jc w:val="center"/>
                    <w:rPr>
                      <w:rFonts w:hint="default"/>
                    </w:rPr>
                  </w:pPr>
                </w:p>
              </w:tc>
              <w:tc>
                <w:tcPr>
                  <w:tcW w:w="1351" w:type="dxa"/>
                  <w:tcBorders>
                    <w:top w:val="single" w:color="auto" w:sz="4" w:space="0"/>
                  </w:tcBorders>
                  <w:noWrap w:val="0"/>
                  <w:vAlign w:val="center"/>
                </w:tcPr>
                <w:p>
                  <w:pPr>
                    <w:jc w:val="center"/>
                    <w:rPr>
                      <w:rFonts w:hint="default"/>
                      <w:lang w:val="en-US" w:eastAsia="zh-CN"/>
                    </w:rPr>
                  </w:pPr>
                  <w:r>
                    <w:rPr>
                      <w:rFonts w:hint="default"/>
                    </w:rPr>
                    <w:t>样品数</w:t>
                  </w:r>
                </w:p>
              </w:tc>
              <w:tc>
                <w:tcPr>
                  <w:tcW w:w="1535" w:type="dxa"/>
                  <w:tcBorders>
                    <w:top w:val="single" w:color="auto" w:sz="4" w:space="0"/>
                  </w:tcBorders>
                  <w:noWrap w:val="0"/>
                  <w:vAlign w:val="center"/>
                </w:tcPr>
                <w:p>
                  <w:pPr>
                    <w:jc w:val="center"/>
                    <w:rPr>
                      <w:rFonts w:hint="default"/>
                      <w:lang w:val="en-US" w:eastAsia="zh-CN"/>
                    </w:rPr>
                  </w:pPr>
                  <w:r>
                    <w:rPr>
                      <w:rFonts w:hint="default"/>
                    </w:rPr>
                    <w:t>平行样数</w:t>
                  </w:r>
                </w:p>
              </w:tc>
              <w:tc>
                <w:tcPr>
                  <w:tcW w:w="1535" w:type="dxa"/>
                  <w:tcBorders>
                    <w:top w:val="single" w:color="auto" w:sz="4" w:space="0"/>
                  </w:tcBorders>
                  <w:noWrap w:val="0"/>
                  <w:vAlign w:val="center"/>
                </w:tcPr>
                <w:p>
                  <w:pPr>
                    <w:jc w:val="center"/>
                    <w:rPr>
                      <w:rFonts w:hint="default"/>
                      <w:lang w:val="en-US" w:eastAsia="zh-CN"/>
                    </w:rPr>
                  </w:pPr>
                  <w:r>
                    <w:rPr>
                      <w:rFonts w:hint="default"/>
                    </w:rPr>
                    <w:t>相对偏差%</w:t>
                  </w:r>
                </w:p>
              </w:tc>
              <w:tc>
                <w:tcPr>
                  <w:tcW w:w="1535" w:type="dxa"/>
                  <w:tcBorders>
                    <w:top w:val="single" w:color="auto" w:sz="4" w:space="0"/>
                  </w:tcBorders>
                  <w:noWrap w:val="0"/>
                  <w:vAlign w:val="center"/>
                </w:tcPr>
                <w:p>
                  <w:pPr>
                    <w:jc w:val="center"/>
                    <w:rPr>
                      <w:rFonts w:hint="default"/>
                      <w:lang w:val="en-US" w:eastAsia="zh-CN"/>
                    </w:rPr>
                  </w:pPr>
                  <w:r>
                    <w:rPr>
                      <w:rFonts w:hint="default"/>
                    </w:rPr>
                    <w:t>评价</w:t>
                  </w:r>
                  <w:r>
                    <w:rPr>
                      <w:rFonts w:hint="default"/>
                      <w:lang w:eastAsia="zh-CN"/>
                    </w:rPr>
                    <w:t>标准</w:t>
                  </w:r>
                  <w:r>
                    <w:rPr>
                      <w:rFonts w:hint="default"/>
                    </w:rPr>
                    <w:t>%</w:t>
                  </w:r>
                </w:p>
              </w:tc>
              <w:tc>
                <w:tcPr>
                  <w:tcW w:w="1543" w:type="dxa"/>
                  <w:tcBorders>
                    <w:top w:val="single" w:color="auto" w:sz="4" w:space="0"/>
                    <w:right w:val="single" w:color="auto" w:sz="4" w:space="0"/>
                  </w:tcBorders>
                  <w:noWrap w:val="0"/>
                  <w:vAlign w:val="center"/>
                </w:tcPr>
                <w:p>
                  <w:pPr>
                    <w:jc w:val="center"/>
                    <w:rPr>
                      <w:rFonts w:hint="default"/>
                      <w:lang w:val="en-US" w:eastAsia="zh-CN"/>
                    </w:rPr>
                  </w:pPr>
                  <w:r>
                    <w:rPr>
                      <w:rFonts w:hint="default"/>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60" w:type="dxa"/>
                  <w:vMerge w:val="restart"/>
                  <w:tcBorders>
                    <w:top w:val="single" w:color="auto" w:sz="4" w:space="0"/>
                    <w:left w:val="single" w:color="auto" w:sz="4" w:space="0"/>
                  </w:tcBorders>
                  <w:noWrap w:val="0"/>
                  <w:vAlign w:val="center"/>
                </w:tcPr>
                <w:p>
                  <w:pPr>
                    <w:spacing w:line="240" w:lineRule="auto"/>
                    <w:jc w:val="center"/>
                    <w:rPr>
                      <w:rFonts w:hint="default"/>
                      <w:lang w:val="en-US" w:eastAsia="zh-CN"/>
                    </w:rPr>
                  </w:pPr>
                  <w:r>
                    <w:rPr>
                      <w:rFonts w:hint="eastAsia"/>
                      <w:lang w:val="en-US" w:eastAsia="zh-CN"/>
                    </w:rPr>
                    <w:t>氨氮</w:t>
                  </w:r>
                </w:p>
              </w:tc>
              <w:tc>
                <w:tcPr>
                  <w:tcW w:w="1351" w:type="dxa"/>
                  <w:vMerge w:val="restart"/>
                  <w:tcBorders>
                    <w:top w:val="single" w:color="auto" w:sz="4" w:space="0"/>
                  </w:tcBorders>
                  <w:noWrap w:val="0"/>
                  <w:vAlign w:val="center"/>
                </w:tcPr>
                <w:p>
                  <w:pPr>
                    <w:jc w:val="center"/>
                    <w:rPr>
                      <w:rFonts w:hint="default"/>
                      <w:lang w:val="en-US" w:eastAsia="zh-CN"/>
                    </w:rPr>
                  </w:pPr>
                </w:p>
              </w:tc>
              <w:tc>
                <w:tcPr>
                  <w:tcW w:w="1535" w:type="dxa"/>
                  <w:vMerge w:val="restart"/>
                  <w:tcBorders>
                    <w:top w:val="single" w:color="auto" w:sz="4" w:space="0"/>
                  </w:tcBorders>
                  <w:noWrap w:val="0"/>
                  <w:vAlign w:val="center"/>
                </w:tcPr>
                <w:p>
                  <w:pPr>
                    <w:jc w:val="center"/>
                    <w:rPr>
                      <w:rFonts w:hint="default"/>
                      <w:lang w:val="en-US" w:eastAsia="zh-CN"/>
                    </w:rPr>
                  </w:pPr>
                </w:p>
              </w:tc>
              <w:tc>
                <w:tcPr>
                  <w:tcW w:w="1535" w:type="dxa"/>
                  <w:tcBorders>
                    <w:top w:val="single" w:color="auto" w:sz="4" w:space="0"/>
                    <w:bottom w:val="single" w:color="auto" w:sz="4" w:space="0"/>
                  </w:tcBorders>
                  <w:noWrap w:val="0"/>
                  <w:vAlign w:val="center"/>
                </w:tcPr>
                <w:p>
                  <w:pPr>
                    <w:spacing w:line="240" w:lineRule="auto"/>
                    <w:jc w:val="center"/>
                    <w:rPr>
                      <w:rFonts w:hint="default"/>
                      <w:lang w:val="en-US" w:eastAsia="zh-CN"/>
                    </w:rPr>
                  </w:pPr>
                </w:p>
              </w:tc>
              <w:tc>
                <w:tcPr>
                  <w:tcW w:w="1535" w:type="dxa"/>
                  <w:vMerge w:val="restart"/>
                  <w:tcBorders>
                    <w:top w:val="single" w:color="auto" w:sz="4" w:space="0"/>
                  </w:tcBorders>
                  <w:noWrap w:val="0"/>
                  <w:vAlign w:val="center"/>
                </w:tcPr>
                <w:p>
                  <w:pPr>
                    <w:spacing w:line="240" w:lineRule="auto"/>
                    <w:jc w:val="center"/>
                    <w:rPr>
                      <w:rFonts w:hint="default"/>
                      <w:lang w:val="en-US" w:eastAsia="zh-CN"/>
                    </w:rPr>
                  </w:pPr>
                </w:p>
              </w:tc>
              <w:tc>
                <w:tcPr>
                  <w:tcW w:w="1543" w:type="dxa"/>
                  <w:vMerge w:val="restart"/>
                  <w:tcBorders>
                    <w:top w:val="single" w:color="auto" w:sz="4" w:space="0"/>
                    <w:right w:val="single" w:color="auto" w:sz="4" w:space="0"/>
                  </w:tcBorders>
                  <w:noWrap w:val="0"/>
                  <w:vAlign w:val="center"/>
                </w:tcPr>
                <w:p>
                  <w:pPr>
                    <w:jc w:val="center"/>
                    <w:rPr>
                      <w:rFonts w:hint="default"/>
                      <w:lang w:val="en-US" w:eastAsia="zh-CN"/>
                    </w:rPr>
                  </w:pPr>
                  <w:r>
                    <w:rPr>
                      <w:rFonts w:hint="default"/>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60" w:type="dxa"/>
                  <w:vMerge w:val="continue"/>
                  <w:tcBorders>
                    <w:left w:val="single" w:color="auto" w:sz="4" w:space="0"/>
                    <w:bottom w:val="single" w:color="auto" w:sz="4" w:space="0"/>
                  </w:tcBorders>
                  <w:noWrap w:val="0"/>
                  <w:vAlign w:val="center"/>
                </w:tcPr>
                <w:p>
                  <w:pPr>
                    <w:spacing w:line="240" w:lineRule="auto"/>
                    <w:jc w:val="center"/>
                  </w:pPr>
                </w:p>
              </w:tc>
              <w:tc>
                <w:tcPr>
                  <w:tcW w:w="1351" w:type="dxa"/>
                  <w:vMerge w:val="continue"/>
                  <w:tcBorders>
                    <w:bottom w:val="single" w:color="auto" w:sz="4" w:space="0"/>
                  </w:tcBorders>
                  <w:noWrap w:val="0"/>
                  <w:vAlign w:val="center"/>
                </w:tcPr>
                <w:p>
                  <w:pPr>
                    <w:spacing w:line="240" w:lineRule="auto"/>
                    <w:jc w:val="center"/>
                  </w:pPr>
                </w:p>
              </w:tc>
              <w:tc>
                <w:tcPr>
                  <w:tcW w:w="1535" w:type="dxa"/>
                  <w:vMerge w:val="continue"/>
                  <w:tcBorders>
                    <w:bottom w:val="single" w:color="auto" w:sz="4" w:space="0"/>
                  </w:tcBorders>
                  <w:noWrap w:val="0"/>
                  <w:vAlign w:val="center"/>
                </w:tcPr>
                <w:p>
                  <w:pPr>
                    <w:spacing w:line="240" w:lineRule="auto"/>
                    <w:jc w:val="center"/>
                  </w:pPr>
                </w:p>
              </w:tc>
              <w:tc>
                <w:tcPr>
                  <w:tcW w:w="1535" w:type="dxa"/>
                  <w:tcBorders>
                    <w:top w:val="single" w:color="auto" w:sz="4" w:space="0"/>
                    <w:bottom w:val="single" w:color="auto" w:sz="4" w:space="0"/>
                  </w:tcBorders>
                  <w:noWrap w:val="0"/>
                  <w:vAlign w:val="center"/>
                </w:tcPr>
                <w:p>
                  <w:pPr>
                    <w:spacing w:line="240" w:lineRule="auto"/>
                    <w:jc w:val="center"/>
                    <w:rPr>
                      <w:rFonts w:hint="default"/>
                      <w:lang w:val="en-US" w:eastAsia="zh-CN"/>
                    </w:rPr>
                  </w:pPr>
                </w:p>
              </w:tc>
              <w:tc>
                <w:tcPr>
                  <w:tcW w:w="1535" w:type="dxa"/>
                  <w:vMerge w:val="continue"/>
                  <w:tcBorders>
                    <w:bottom w:val="single" w:color="auto" w:sz="4" w:space="0"/>
                  </w:tcBorders>
                  <w:noWrap w:val="0"/>
                  <w:vAlign w:val="center"/>
                </w:tcPr>
                <w:p>
                  <w:pPr>
                    <w:spacing w:line="240" w:lineRule="auto"/>
                    <w:jc w:val="center"/>
                    <w:rPr>
                      <w:rFonts w:hint="default"/>
                      <w:lang w:val="en-US" w:eastAsia="zh-CN"/>
                    </w:rPr>
                  </w:pPr>
                </w:p>
              </w:tc>
              <w:tc>
                <w:tcPr>
                  <w:tcW w:w="1543" w:type="dxa"/>
                  <w:vMerge w:val="continue"/>
                  <w:tcBorders>
                    <w:bottom w:val="single" w:color="auto" w:sz="4" w:space="0"/>
                    <w:right w:val="single" w:color="auto" w:sz="4" w:space="0"/>
                  </w:tcBorders>
                  <w:noWrap w:val="0"/>
                  <w:vAlign w:val="center"/>
                </w:tcPr>
                <w:p>
                  <w:pPr>
                    <w:spacing w:line="240" w:lineRule="auto"/>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60" w:type="dxa"/>
                  <w:tcBorders>
                    <w:top w:val="single" w:color="auto" w:sz="4" w:space="0"/>
                    <w:left w:val="single" w:color="auto" w:sz="4" w:space="0"/>
                  </w:tcBorders>
                  <w:noWrap w:val="0"/>
                  <w:vAlign w:val="center"/>
                </w:tcPr>
                <w:p>
                  <w:pPr>
                    <w:spacing w:line="240" w:lineRule="auto"/>
                    <w:jc w:val="center"/>
                    <w:rPr>
                      <w:rFonts w:hint="default"/>
                      <w:lang w:val="en-US" w:eastAsia="zh-CN"/>
                    </w:rPr>
                  </w:pPr>
                  <w:r>
                    <w:rPr>
                      <w:rFonts w:hint="eastAsia"/>
                      <w:lang w:val="en-US" w:eastAsia="zh-CN"/>
                    </w:rPr>
                    <w:t>总磷</w:t>
                  </w:r>
                </w:p>
              </w:tc>
              <w:tc>
                <w:tcPr>
                  <w:tcW w:w="1351" w:type="dxa"/>
                  <w:tcBorders>
                    <w:top w:val="single" w:color="auto" w:sz="4" w:space="0"/>
                  </w:tcBorders>
                  <w:noWrap w:val="0"/>
                  <w:vAlign w:val="center"/>
                </w:tcPr>
                <w:p>
                  <w:pPr>
                    <w:jc w:val="center"/>
                    <w:rPr>
                      <w:rFonts w:hint="default"/>
                      <w:lang w:val="en-US" w:eastAsia="zh-CN"/>
                    </w:rPr>
                  </w:pPr>
                </w:p>
              </w:tc>
              <w:tc>
                <w:tcPr>
                  <w:tcW w:w="1535" w:type="dxa"/>
                  <w:tcBorders>
                    <w:top w:val="single" w:color="auto" w:sz="4" w:space="0"/>
                  </w:tcBorders>
                  <w:noWrap w:val="0"/>
                  <w:vAlign w:val="center"/>
                </w:tcPr>
                <w:p>
                  <w:pPr>
                    <w:jc w:val="center"/>
                    <w:rPr>
                      <w:rFonts w:hint="default"/>
                      <w:lang w:val="en-US" w:eastAsia="zh-CN"/>
                    </w:rPr>
                  </w:pPr>
                </w:p>
              </w:tc>
              <w:tc>
                <w:tcPr>
                  <w:tcW w:w="1535" w:type="dxa"/>
                  <w:tcBorders>
                    <w:top w:val="single" w:color="auto" w:sz="4" w:space="0"/>
                    <w:bottom w:val="single" w:color="auto" w:sz="4" w:space="0"/>
                  </w:tcBorders>
                  <w:noWrap w:val="0"/>
                  <w:vAlign w:val="center"/>
                </w:tcPr>
                <w:p>
                  <w:pPr>
                    <w:spacing w:line="240" w:lineRule="auto"/>
                    <w:jc w:val="center"/>
                    <w:rPr>
                      <w:rFonts w:hint="default"/>
                      <w:lang w:val="en-US" w:eastAsia="zh-CN"/>
                    </w:rPr>
                  </w:pPr>
                </w:p>
              </w:tc>
              <w:tc>
                <w:tcPr>
                  <w:tcW w:w="1535" w:type="dxa"/>
                  <w:tcBorders>
                    <w:top w:val="single" w:color="auto" w:sz="4" w:space="0"/>
                  </w:tcBorders>
                  <w:noWrap w:val="0"/>
                  <w:vAlign w:val="center"/>
                </w:tcPr>
                <w:p>
                  <w:pPr>
                    <w:spacing w:line="240" w:lineRule="auto"/>
                    <w:jc w:val="center"/>
                    <w:rPr>
                      <w:rFonts w:hint="default"/>
                      <w:lang w:val="en-US" w:eastAsia="zh-CN"/>
                    </w:rPr>
                  </w:pPr>
                </w:p>
              </w:tc>
              <w:tc>
                <w:tcPr>
                  <w:tcW w:w="1543" w:type="dxa"/>
                  <w:tcBorders>
                    <w:top w:val="single" w:color="auto" w:sz="4" w:space="0"/>
                    <w:right w:val="single" w:color="auto" w:sz="4" w:space="0"/>
                  </w:tcBorders>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60" w:type="dxa"/>
                  <w:noWrap w:val="0"/>
                  <w:vAlign w:val="center"/>
                </w:tcPr>
                <w:p>
                  <w:pPr>
                    <w:spacing w:line="240" w:lineRule="auto"/>
                    <w:jc w:val="center"/>
                    <w:rPr>
                      <w:rFonts w:hint="default"/>
                      <w:lang w:val="en-US" w:eastAsia="zh-CN"/>
                    </w:rPr>
                  </w:pPr>
                  <w:r>
                    <w:rPr>
                      <w:rFonts w:hint="eastAsia"/>
                      <w:lang w:val="en-US" w:eastAsia="zh-CN"/>
                    </w:rPr>
                    <w:t>化学需氧量</w:t>
                  </w:r>
                </w:p>
              </w:tc>
              <w:tc>
                <w:tcPr>
                  <w:tcW w:w="1351" w:type="dxa"/>
                  <w:noWrap w:val="0"/>
                  <w:vAlign w:val="center"/>
                </w:tcPr>
                <w:p>
                  <w:pPr>
                    <w:jc w:val="center"/>
                    <w:rPr>
                      <w:rFonts w:hint="default"/>
                      <w:lang w:val="en-US" w:eastAsia="zh-CN"/>
                    </w:rPr>
                  </w:pPr>
                </w:p>
              </w:tc>
              <w:tc>
                <w:tcPr>
                  <w:tcW w:w="1535" w:type="dxa"/>
                  <w:noWrap w:val="0"/>
                  <w:vAlign w:val="center"/>
                </w:tcPr>
                <w:p>
                  <w:pPr>
                    <w:jc w:val="center"/>
                    <w:rPr>
                      <w:rFonts w:hint="default"/>
                      <w:lang w:val="en-US" w:eastAsia="zh-CN"/>
                    </w:rPr>
                  </w:pPr>
                </w:p>
              </w:tc>
              <w:tc>
                <w:tcPr>
                  <w:tcW w:w="1535" w:type="dxa"/>
                  <w:noWrap w:val="0"/>
                  <w:vAlign w:val="center"/>
                </w:tcPr>
                <w:p>
                  <w:pPr>
                    <w:spacing w:line="240" w:lineRule="auto"/>
                    <w:jc w:val="center"/>
                    <w:rPr>
                      <w:rFonts w:hint="default"/>
                      <w:lang w:val="en-US" w:eastAsia="zh-CN"/>
                    </w:rPr>
                  </w:pPr>
                </w:p>
              </w:tc>
              <w:tc>
                <w:tcPr>
                  <w:tcW w:w="1535" w:type="dxa"/>
                  <w:noWrap w:val="0"/>
                  <w:vAlign w:val="center"/>
                </w:tcPr>
                <w:p>
                  <w:pPr>
                    <w:spacing w:line="240" w:lineRule="auto"/>
                    <w:jc w:val="center"/>
                    <w:rPr>
                      <w:rFonts w:hint="default"/>
                      <w:lang w:val="en-US" w:eastAsia="zh-CN"/>
                    </w:rPr>
                  </w:pPr>
                </w:p>
              </w:tc>
              <w:tc>
                <w:tcPr>
                  <w:tcW w:w="1543" w:type="dxa"/>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60" w:type="dxa"/>
                  <w:vMerge w:val="restart"/>
                  <w:noWrap w:val="0"/>
                  <w:vAlign w:val="center"/>
                </w:tcPr>
                <w:p>
                  <w:pPr>
                    <w:spacing w:line="240" w:lineRule="auto"/>
                    <w:jc w:val="center"/>
                    <w:rPr>
                      <w:rFonts w:hint="default"/>
                      <w:lang w:val="en-US" w:eastAsia="zh-CN"/>
                    </w:rPr>
                  </w:pPr>
                  <w:r>
                    <w:rPr>
                      <w:rFonts w:hint="eastAsia"/>
                      <w:lang w:val="en-US" w:eastAsia="zh-CN"/>
                    </w:rPr>
                    <w:t>五日生化需氧量</w:t>
                  </w:r>
                </w:p>
              </w:tc>
              <w:tc>
                <w:tcPr>
                  <w:tcW w:w="1351" w:type="dxa"/>
                  <w:vMerge w:val="restart"/>
                  <w:noWrap w:val="0"/>
                  <w:vAlign w:val="center"/>
                </w:tcPr>
                <w:p>
                  <w:pPr>
                    <w:jc w:val="center"/>
                    <w:rPr>
                      <w:rFonts w:hint="default"/>
                      <w:lang w:val="en-US" w:eastAsia="zh-CN"/>
                    </w:rPr>
                  </w:pPr>
                </w:p>
              </w:tc>
              <w:tc>
                <w:tcPr>
                  <w:tcW w:w="1535" w:type="dxa"/>
                  <w:vMerge w:val="restart"/>
                  <w:noWrap w:val="0"/>
                  <w:vAlign w:val="center"/>
                </w:tcPr>
                <w:p>
                  <w:pPr>
                    <w:jc w:val="center"/>
                    <w:rPr>
                      <w:rFonts w:hint="default"/>
                      <w:lang w:val="en-US" w:eastAsia="zh-CN"/>
                    </w:rPr>
                  </w:pPr>
                </w:p>
              </w:tc>
              <w:tc>
                <w:tcPr>
                  <w:tcW w:w="1535" w:type="dxa"/>
                  <w:noWrap w:val="0"/>
                  <w:vAlign w:val="center"/>
                </w:tcPr>
                <w:p>
                  <w:pPr>
                    <w:spacing w:line="240" w:lineRule="auto"/>
                    <w:jc w:val="center"/>
                    <w:rPr>
                      <w:rFonts w:hint="default"/>
                      <w:lang w:val="en-US" w:eastAsia="zh-CN"/>
                    </w:rPr>
                  </w:pPr>
                </w:p>
              </w:tc>
              <w:tc>
                <w:tcPr>
                  <w:tcW w:w="1535" w:type="dxa"/>
                  <w:vMerge w:val="restart"/>
                  <w:noWrap w:val="0"/>
                  <w:vAlign w:val="center"/>
                </w:tcPr>
                <w:p>
                  <w:pPr>
                    <w:spacing w:line="240" w:lineRule="auto"/>
                    <w:jc w:val="center"/>
                    <w:rPr>
                      <w:rFonts w:hint="default"/>
                      <w:lang w:val="en-US" w:eastAsia="zh-CN"/>
                    </w:rPr>
                  </w:pPr>
                </w:p>
              </w:tc>
              <w:tc>
                <w:tcPr>
                  <w:tcW w:w="1543" w:type="dxa"/>
                  <w:vMerge w:val="restart"/>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60" w:type="dxa"/>
                  <w:vMerge w:val="continue"/>
                  <w:noWrap w:val="0"/>
                  <w:vAlign w:val="center"/>
                </w:tcPr>
                <w:p>
                  <w:pPr>
                    <w:spacing w:line="240" w:lineRule="auto"/>
                    <w:jc w:val="center"/>
                  </w:pPr>
                </w:p>
              </w:tc>
              <w:tc>
                <w:tcPr>
                  <w:tcW w:w="1351" w:type="dxa"/>
                  <w:vMerge w:val="continue"/>
                  <w:noWrap w:val="0"/>
                  <w:vAlign w:val="center"/>
                </w:tcPr>
                <w:p>
                  <w:pPr>
                    <w:spacing w:line="240" w:lineRule="auto"/>
                    <w:jc w:val="center"/>
                  </w:pPr>
                </w:p>
              </w:tc>
              <w:tc>
                <w:tcPr>
                  <w:tcW w:w="1535" w:type="dxa"/>
                  <w:vMerge w:val="continue"/>
                  <w:noWrap w:val="0"/>
                  <w:vAlign w:val="center"/>
                </w:tcPr>
                <w:p>
                  <w:pPr>
                    <w:spacing w:line="240" w:lineRule="auto"/>
                    <w:jc w:val="center"/>
                  </w:pPr>
                </w:p>
              </w:tc>
              <w:tc>
                <w:tcPr>
                  <w:tcW w:w="1535" w:type="dxa"/>
                  <w:noWrap w:val="0"/>
                  <w:vAlign w:val="center"/>
                </w:tcPr>
                <w:p>
                  <w:pPr>
                    <w:spacing w:line="240" w:lineRule="auto"/>
                    <w:jc w:val="center"/>
                    <w:rPr>
                      <w:rFonts w:hint="default"/>
                      <w:lang w:val="en-US" w:eastAsia="zh-CN"/>
                    </w:rPr>
                  </w:pPr>
                </w:p>
              </w:tc>
              <w:tc>
                <w:tcPr>
                  <w:tcW w:w="1535" w:type="dxa"/>
                  <w:vMerge w:val="continue"/>
                  <w:noWrap w:val="0"/>
                  <w:vAlign w:val="center"/>
                </w:tcPr>
                <w:p>
                  <w:pPr>
                    <w:spacing w:line="240" w:lineRule="auto"/>
                    <w:jc w:val="center"/>
                    <w:rPr>
                      <w:rFonts w:hint="default"/>
                      <w:lang w:val="en-US" w:eastAsia="zh-CN"/>
                    </w:rPr>
                  </w:pPr>
                </w:p>
              </w:tc>
              <w:tc>
                <w:tcPr>
                  <w:tcW w:w="1543" w:type="dxa"/>
                  <w:vMerge w:val="continue"/>
                  <w:noWrap w:val="0"/>
                  <w:vAlign w:val="center"/>
                </w:tcPr>
                <w:p>
                  <w:pPr>
                    <w:spacing w:line="240" w:lineRule="auto"/>
                    <w:jc w:val="center"/>
                    <w:rPr>
                      <w:rFonts w:hint="default"/>
                      <w:lang w:val="en-US" w:eastAsia="zh-CN"/>
                    </w:rPr>
                  </w:pPr>
                </w:p>
              </w:tc>
            </w:tr>
          </w:tbl>
          <w:p>
            <w:pPr>
              <w:pStyle w:val="9"/>
              <w:bidi w:val="0"/>
              <w:rPr>
                <w:rFonts w:hint="default"/>
                <w:lang w:val="en-US" w:eastAsia="zh-CN"/>
              </w:rPr>
            </w:pP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6  废水实验室</w:t>
            </w:r>
            <w:r>
              <w:rPr>
                <w:rFonts w:hint="default"/>
                <w:lang w:val="en-US" w:eastAsia="zh-CN"/>
              </w:rPr>
              <w:t>平行样汇总</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2"/>
              <w:gridCol w:w="1307"/>
              <w:gridCol w:w="1483"/>
              <w:gridCol w:w="1492"/>
              <w:gridCol w:w="1492"/>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tcBorders>
                    <w:top w:val="single" w:color="auto" w:sz="4" w:space="0"/>
                    <w:left w:val="single" w:color="auto" w:sz="4" w:space="0"/>
                    <w:bottom w:val="single" w:color="auto" w:sz="4" w:space="0"/>
                    <w:right w:val="nil"/>
                  </w:tcBorders>
                  <w:noWrap w:val="0"/>
                  <w:vAlign w:val="center"/>
                </w:tcPr>
                <w:p>
                  <w:pPr>
                    <w:jc w:val="center"/>
                    <w:rPr>
                      <w:rFonts w:hint="default"/>
                    </w:rPr>
                  </w:pPr>
                  <w:r>
                    <w:rPr>
                      <w:rFonts w:hint="default"/>
                    </w:rPr>
                    <w:t>分析项目</w:t>
                  </w:r>
                </w:p>
              </w:tc>
              <w:tc>
                <w:tcPr>
                  <w:tcW w:w="4010" w:type="pct"/>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rPr>
                  </w:pPr>
                  <w:r>
                    <w:rPr>
                      <w:rFonts w:hint="default"/>
                    </w:rPr>
                    <w:t>质控措施和质控样数量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tcBorders>
                    <w:top w:val="single" w:color="auto" w:sz="4" w:space="0"/>
                    <w:left w:val="single" w:color="auto" w:sz="4" w:space="0"/>
                  </w:tcBorders>
                  <w:noWrap w:val="0"/>
                  <w:vAlign w:val="center"/>
                </w:tcPr>
                <w:p>
                  <w:pPr>
                    <w:jc w:val="center"/>
                    <w:rPr>
                      <w:rFonts w:hint="default"/>
                    </w:rPr>
                  </w:pPr>
                </w:p>
              </w:tc>
              <w:tc>
                <w:tcPr>
                  <w:tcW w:w="721" w:type="pct"/>
                  <w:tcBorders>
                    <w:top w:val="single" w:color="auto" w:sz="4" w:space="0"/>
                  </w:tcBorders>
                  <w:noWrap w:val="0"/>
                  <w:vAlign w:val="center"/>
                </w:tcPr>
                <w:p>
                  <w:pPr>
                    <w:jc w:val="center"/>
                    <w:rPr>
                      <w:rFonts w:hint="default"/>
                      <w:lang w:val="en-US" w:eastAsia="zh-CN"/>
                    </w:rPr>
                  </w:pPr>
                  <w:r>
                    <w:rPr>
                      <w:rFonts w:hint="default"/>
                    </w:rPr>
                    <w:t>样品数</w:t>
                  </w:r>
                </w:p>
              </w:tc>
              <w:tc>
                <w:tcPr>
                  <w:tcW w:w="818" w:type="pct"/>
                  <w:tcBorders>
                    <w:top w:val="single" w:color="auto" w:sz="4" w:space="0"/>
                  </w:tcBorders>
                  <w:noWrap w:val="0"/>
                  <w:vAlign w:val="center"/>
                </w:tcPr>
                <w:p>
                  <w:pPr>
                    <w:jc w:val="center"/>
                    <w:rPr>
                      <w:rFonts w:hint="default"/>
                      <w:lang w:val="en-US" w:eastAsia="zh-CN"/>
                    </w:rPr>
                  </w:pPr>
                  <w:r>
                    <w:rPr>
                      <w:rFonts w:hint="default"/>
                    </w:rPr>
                    <w:t>平行样数</w:t>
                  </w:r>
                </w:p>
              </w:tc>
              <w:tc>
                <w:tcPr>
                  <w:tcW w:w="823" w:type="pct"/>
                  <w:tcBorders>
                    <w:top w:val="single" w:color="auto" w:sz="4" w:space="0"/>
                  </w:tcBorders>
                  <w:noWrap w:val="0"/>
                  <w:vAlign w:val="center"/>
                </w:tcPr>
                <w:p>
                  <w:pPr>
                    <w:jc w:val="center"/>
                    <w:rPr>
                      <w:rFonts w:hint="default"/>
                      <w:lang w:val="en-US" w:eastAsia="zh-CN"/>
                    </w:rPr>
                  </w:pPr>
                  <w:r>
                    <w:rPr>
                      <w:rFonts w:hint="default"/>
                    </w:rPr>
                    <w:t>相对偏差%</w:t>
                  </w:r>
                </w:p>
              </w:tc>
              <w:tc>
                <w:tcPr>
                  <w:tcW w:w="823" w:type="pct"/>
                  <w:tcBorders>
                    <w:top w:val="single" w:color="auto" w:sz="4" w:space="0"/>
                  </w:tcBorders>
                  <w:noWrap w:val="0"/>
                  <w:vAlign w:val="center"/>
                </w:tcPr>
                <w:p>
                  <w:pPr>
                    <w:jc w:val="center"/>
                    <w:rPr>
                      <w:rFonts w:hint="default"/>
                      <w:lang w:val="en-US" w:eastAsia="zh-CN"/>
                    </w:rPr>
                  </w:pPr>
                  <w:r>
                    <w:rPr>
                      <w:rFonts w:hint="default"/>
                    </w:rPr>
                    <w:t>评价</w:t>
                  </w:r>
                  <w:r>
                    <w:rPr>
                      <w:rFonts w:hint="default"/>
                      <w:lang w:eastAsia="zh-CN"/>
                    </w:rPr>
                    <w:t>标准</w:t>
                  </w:r>
                  <w:r>
                    <w:rPr>
                      <w:rFonts w:hint="default"/>
                    </w:rPr>
                    <w:t>%</w:t>
                  </w:r>
                </w:p>
              </w:tc>
              <w:tc>
                <w:tcPr>
                  <w:tcW w:w="823" w:type="pct"/>
                  <w:tcBorders>
                    <w:top w:val="single" w:color="auto" w:sz="4" w:space="0"/>
                    <w:right w:val="single" w:color="auto" w:sz="4" w:space="0"/>
                  </w:tcBorders>
                  <w:noWrap w:val="0"/>
                  <w:vAlign w:val="center"/>
                </w:tcPr>
                <w:p>
                  <w:pPr>
                    <w:jc w:val="center"/>
                    <w:rPr>
                      <w:rFonts w:hint="default"/>
                      <w:lang w:val="en-US" w:eastAsia="zh-CN"/>
                    </w:rPr>
                  </w:pPr>
                  <w:r>
                    <w:rPr>
                      <w:rFonts w:hint="default"/>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tcBorders>
                    <w:top w:val="single" w:color="auto" w:sz="4" w:space="0"/>
                    <w:left w:val="single" w:color="auto" w:sz="4" w:space="0"/>
                    <w:bottom w:val="single" w:color="auto" w:sz="4" w:space="0"/>
                  </w:tcBorders>
                  <w:noWrap w:val="0"/>
                  <w:vAlign w:val="center"/>
                </w:tcPr>
                <w:p>
                  <w:pPr>
                    <w:spacing w:line="240" w:lineRule="auto"/>
                    <w:jc w:val="center"/>
                    <w:rPr>
                      <w:rFonts w:hint="default"/>
                      <w:lang w:val="en-US" w:eastAsia="zh-CN"/>
                    </w:rPr>
                  </w:pPr>
                  <w:r>
                    <w:rPr>
                      <w:rFonts w:hint="eastAsia"/>
                      <w:lang w:val="en-US" w:eastAsia="zh-CN"/>
                    </w:rPr>
                    <w:t>氨氮</w:t>
                  </w:r>
                </w:p>
              </w:tc>
              <w:tc>
                <w:tcPr>
                  <w:tcW w:w="721" w:type="pct"/>
                  <w:tcBorders>
                    <w:top w:val="single" w:color="auto" w:sz="4" w:space="0"/>
                    <w:bottom w:val="single" w:color="auto" w:sz="4" w:space="0"/>
                  </w:tcBorders>
                  <w:noWrap w:val="0"/>
                  <w:vAlign w:val="center"/>
                </w:tcPr>
                <w:p>
                  <w:pPr>
                    <w:jc w:val="center"/>
                    <w:rPr>
                      <w:rFonts w:hint="default"/>
                      <w:lang w:val="en-US" w:eastAsia="zh-CN"/>
                    </w:rPr>
                  </w:pPr>
                </w:p>
              </w:tc>
              <w:tc>
                <w:tcPr>
                  <w:tcW w:w="818" w:type="pct"/>
                  <w:tcBorders>
                    <w:top w:val="single" w:color="auto" w:sz="4" w:space="0"/>
                    <w:bottom w:val="single" w:color="auto" w:sz="4" w:space="0"/>
                  </w:tcBorders>
                  <w:noWrap w:val="0"/>
                  <w:vAlign w:val="center"/>
                </w:tcPr>
                <w:p>
                  <w:pPr>
                    <w:jc w:val="center"/>
                    <w:rPr>
                      <w:rFonts w:hint="default"/>
                      <w:lang w:val="en-US" w:eastAsia="zh-CN"/>
                    </w:rPr>
                  </w:pPr>
                </w:p>
              </w:tc>
              <w:tc>
                <w:tcPr>
                  <w:tcW w:w="823" w:type="pct"/>
                  <w:tcBorders>
                    <w:top w:val="single" w:color="auto" w:sz="4" w:space="0"/>
                    <w:bottom w:val="single" w:color="auto" w:sz="4" w:space="0"/>
                  </w:tcBorders>
                  <w:noWrap w:val="0"/>
                  <w:vAlign w:val="center"/>
                </w:tcPr>
                <w:p>
                  <w:pPr>
                    <w:spacing w:line="240" w:lineRule="auto"/>
                    <w:jc w:val="center"/>
                    <w:rPr>
                      <w:rFonts w:hint="default"/>
                      <w:lang w:val="en-US" w:eastAsia="zh-CN"/>
                    </w:rPr>
                  </w:pPr>
                </w:p>
              </w:tc>
              <w:tc>
                <w:tcPr>
                  <w:tcW w:w="823" w:type="pct"/>
                  <w:tcBorders>
                    <w:top w:val="single" w:color="auto" w:sz="4" w:space="0"/>
                    <w:bottom w:val="single" w:color="auto" w:sz="4" w:space="0"/>
                  </w:tcBorders>
                  <w:noWrap w:val="0"/>
                  <w:vAlign w:val="center"/>
                </w:tcPr>
                <w:p>
                  <w:pPr>
                    <w:spacing w:line="240" w:lineRule="auto"/>
                    <w:jc w:val="center"/>
                    <w:rPr>
                      <w:rFonts w:hint="default"/>
                      <w:lang w:val="en-US" w:eastAsia="zh-CN"/>
                    </w:rPr>
                  </w:pPr>
                </w:p>
              </w:tc>
              <w:tc>
                <w:tcPr>
                  <w:tcW w:w="823" w:type="pct"/>
                  <w:tcBorders>
                    <w:top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default"/>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tcBorders>
                    <w:top w:val="single" w:color="auto" w:sz="4" w:space="0"/>
                    <w:left w:val="single" w:color="auto" w:sz="4" w:space="0"/>
                  </w:tcBorders>
                  <w:noWrap w:val="0"/>
                  <w:vAlign w:val="center"/>
                </w:tcPr>
                <w:p>
                  <w:pPr>
                    <w:spacing w:line="240" w:lineRule="auto"/>
                    <w:jc w:val="center"/>
                    <w:rPr>
                      <w:rFonts w:hint="default"/>
                      <w:lang w:val="en-US" w:eastAsia="zh-CN"/>
                    </w:rPr>
                  </w:pPr>
                  <w:r>
                    <w:rPr>
                      <w:rFonts w:hint="eastAsia"/>
                      <w:lang w:val="en-US" w:eastAsia="zh-CN"/>
                    </w:rPr>
                    <w:t>总磷</w:t>
                  </w:r>
                </w:p>
              </w:tc>
              <w:tc>
                <w:tcPr>
                  <w:tcW w:w="721" w:type="pct"/>
                  <w:tcBorders>
                    <w:top w:val="single" w:color="auto" w:sz="4" w:space="0"/>
                  </w:tcBorders>
                  <w:noWrap w:val="0"/>
                  <w:vAlign w:val="center"/>
                </w:tcPr>
                <w:p>
                  <w:pPr>
                    <w:jc w:val="center"/>
                    <w:rPr>
                      <w:rFonts w:hint="default"/>
                      <w:lang w:val="en-US" w:eastAsia="zh-CN"/>
                    </w:rPr>
                  </w:pPr>
                </w:p>
              </w:tc>
              <w:tc>
                <w:tcPr>
                  <w:tcW w:w="818" w:type="pct"/>
                  <w:tcBorders>
                    <w:top w:val="single" w:color="auto" w:sz="4" w:space="0"/>
                  </w:tcBorders>
                  <w:noWrap w:val="0"/>
                  <w:vAlign w:val="center"/>
                </w:tcPr>
                <w:p>
                  <w:pPr>
                    <w:jc w:val="center"/>
                    <w:rPr>
                      <w:rFonts w:hint="default"/>
                      <w:lang w:val="en-US" w:eastAsia="zh-CN"/>
                    </w:rPr>
                  </w:pPr>
                </w:p>
              </w:tc>
              <w:tc>
                <w:tcPr>
                  <w:tcW w:w="823" w:type="pct"/>
                  <w:tcBorders>
                    <w:top w:val="single" w:color="auto" w:sz="4" w:space="0"/>
                    <w:bottom w:val="single" w:color="auto" w:sz="4" w:space="0"/>
                  </w:tcBorders>
                  <w:noWrap w:val="0"/>
                  <w:vAlign w:val="center"/>
                </w:tcPr>
                <w:p>
                  <w:pPr>
                    <w:spacing w:line="240" w:lineRule="auto"/>
                    <w:jc w:val="center"/>
                    <w:rPr>
                      <w:rFonts w:hint="default"/>
                      <w:lang w:val="en-US" w:eastAsia="zh-CN"/>
                    </w:rPr>
                  </w:pPr>
                </w:p>
              </w:tc>
              <w:tc>
                <w:tcPr>
                  <w:tcW w:w="823" w:type="pct"/>
                  <w:tcBorders>
                    <w:top w:val="single" w:color="auto" w:sz="4" w:space="0"/>
                  </w:tcBorders>
                  <w:noWrap w:val="0"/>
                  <w:vAlign w:val="center"/>
                </w:tcPr>
                <w:p>
                  <w:pPr>
                    <w:spacing w:line="240" w:lineRule="auto"/>
                    <w:jc w:val="center"/>
                    <w:rPr>
                      <w:rFonts w:hint="default"/>
                      <w:lang w:val="en-US" w:eastAsia="zh-CN"/>
                    </w:rPr>
                  </w:pPr>
                </w:p>
              </w:tc>
              <w:tc>
                <w:tcPr>
                  <w:tcW w:w="823" w:type="pct"/>
                  <w:tcBorders>
                    <w:top w:val="single" w:color="auto" w:sz="4" w:space="0"/>
                    <w:right w:val="single" w:color="auto" w:sz="4" w:space="0"/>
                  </w:tcBorders>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noWrap w:val="0"/>
                  <w:vAlign w:val="center"/>
                </w:tcPr>
                <w:p>
                  <w:pPr>
                    <w:spacing w:line="240" w:lineRule="auto"/>
                    <w:jc w:val="center"/>
                    <w:rPr>
                      <w:rFonts w:hint="default"/>
                      <w:lang w:val="en-US" w:eastAsia="zh-CN"/>
                    </w:rPr>
                  </w:pPr>
                  <w:r>
                    <w:rPr>
                      <w:rFonts w:hint="eastAsia"/>
                      <w:lang w:val="en-US" w:eastAsia="zh-CN"/>
                    </w:rPr>
                    <w:t>化学需氧量</w:t>
                  </w:r>
                </w:p>
              </w:tc>
              <w:tc>
                <w:tcPr>
                  <w:tcW w:w="721" w:type="pct"/>
                  <w:noWrap w:val="0"/>
                  <w:vAlign w:val="center"/>
                </w:tcPr>
                <w:p>
                  <w:pPr>
                    <w:jc w:val="center"/>
                    <w:rPr>
                      <w:rFonts w:hint="default"/>
                      <w:lang w:val="en-US" w:eastAsia="zh-CN"/>
                    </w:rPr>
                  </w:pPr>
                </w:p>
              </w:tc>
              <w:tc>
                <w:tcPr>
                  <w:tcW w:w="818" w:type="pct"/>
                  <w:noWrap w:val="0"/>
                  <w:vAlign w:val="center"/>
                </w:tcPr>
                <w:p>
                  <w:pPr>
                    <w:jc w:val="center"/>
                    <w:rPr>
                      <w:rFonts w:hint="default"/>
                      <w:lang w:val="en-US" w:eastAsia="zh-CN"/>
                    </w:rPr>
                  </w:pPr>
                </w:p>
              </w:tc>
              <w:tc>
                <w:tcPr>
                  <w:tcW w:w="823" w:type="pct"/>
                  <w:noWrap w:val="0"/>
                  <w:vAlign w:val="center"/>
                </w:tcPr>
                <w:p>
                  <w:pPr>
                    <w:spacing w:line="240" w:lineRule="auto"/>
                    <w:jc w:val="center"/>
                    <w:rPr>
                      <w:rFonts w:hint="default"/>
                      <w:lang w:val="en-US" w:eastAsia="zh-CN"/>
                    </w:rPr>
                  </w:pPr>
                </w:p>
              </w:tc>
              <w:tc>
                <w:tcPr>
                  <w:tcW w:w="823" w:type="pct"/>
                  <w:noWrap w:val="0"/>
                  <w:vAlign w:val="center"/>
                </w:tcPr>
                <w:p>
                  <w:pPr>
                    <w:spacing w:line="240" w:lineRule="auto"/>
                    <w:jc w:val="center"/>
                    <w:rPr>
                      <w:rFonts w:hint="default"/>
                      <w:lang w:val="en-US" w:eastAsia="zh-CN"/>
                    </w:rPr>
                  </w:pPr>
                </w:p>
              </w:tc>
              <w:tc>
                <w:tcPr>
                  <w:tcW w:w="823" w:type="pct"/>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restart"/>
                  <w:noWrap w:val="0"/>
                  <w:vAlign w:val="center"/>
                </w:tcPr>
                <w:p>
                  <w:pPr>
                    <w:spacing w:line="240" w:lineRule="auto"/>
                    <w:jc w:val="center"/>
                    <w:rPr>
                      <w:rFonts w:hint="default"/>
                      <w:lang w:val="en-US" w:eastAsia="zh-CN"/>
                    </w:rPr>
                  </w:pPr>
                  <w:r>
                    <w:rPr>
                      <w:rFonts w:hint="eastAsia"/>
                      <w:lang w:val="en-US" w:eastAsia="zh-CN"/>
                    </w:rPr>
                    <w:t>五日生化需氧量</w:t>
                  </w:r>
                </w:p>
              </w:tc>
              <w:tc>
                <w:tcPr>
                  <w:tcW w:w="721" w:type="pct"/>
                  <w:vMerge w:val="restart"/>
                  <w:noWrap w:val="0"/>
                  <w:vAlign w:val="center"/>
                </w:tcPr>
                <w:p>
                  <w:pPr>
                    <w:jc w:val="center"/>
                    <w:rPr>
                      <w:rFonts w:hint="default"/>
                      <w:lang w:val="en-US" w:eastAsia="zh-CN"/>
                    </w:rPr>
                  </w:pPr>
                </w:p>
              </w:tc>
              <w:tc>
                <w:tcPr>
                  <w:tcW w:w="818" w:type="pct"/>
                  <w:vMerge w:val="restart"/>
                  <w:noWrap w:val="0"/>
                  <w:vAlign w:val="center"/>
                </w:tcPr>
                <w:p>
                  <w:pPr>
                    <w:jc w:val="center"/>
                    <w:rPr>
                      <w:rFonts w:hint="default"/>
                      <w:lang w:val="en-US" w:eastAsia="zh-CN"/>
                    </w:rPr>
                  </w:pPr>
                </w:p>
              </w:tc>
              <w:tc>
                <w:tcPr>
                  <w:tcW w:w="823" w:type="pct"/>
                  <w:noWrap w:val="0"/>
                  <w:vAlign w:val="center"/>
                </w:tcPr>
                <w:p>
                  <w:pPr>
                    <w:spacing w:line="240" w:lineRule="auto"/>
                    <w:jc w:val="center"/>
                    <w:rPr>
                      <w:rFonts w:hint="default"/>
                      <w:lang w:val="en-US" w:eastAsia="zh-CN"/>
                    </w:rPr>
                  </w:pPr>
                </w:p>
              </w:tc>
              <w:tc>
                <w:tcPr>
                  <w:tcW w:w="823" w:type="pct"/>
                  <w:vMerge w:val="restart"/>
                  <w:noWrap w:val="0"/>
                  <w:vAlign w:val="center"/>
                </w:tcPr>
                <w:p>
                  <w:pPr>
                    <w:spacing w:line="240" w:lineRule="auto"/>
                    <w:jc w:val="center"/>
                    <w:rPr>
                      <w:rFonts w:hint="default"/>
                      <w:lang w:val="en-US" w:eastAsia="zh-CN"/>
                    </w:rPr>
                  </w:pPr>
                </w:p>
              </w:tc>
              <w:tc>
                <w:tcPr>
                  <w:tcW w:w="823" w:type="pct"/>
                  <w:vMerge w:val="restart"/>
                  <w:noWrap w:val="0"/>
                  <w:vAlign w:val="center"/>
                </w:tcPr>
                <w:p>
                  <w:pPr>
                    <w:spacing w:line="240" w:lineRule="auto"/>
                    <w:jc w:val="center"/>
                    <w:rPr>
                      <w:rFonts w:hint="default"/>
                      <w:lang w:val="en-US" w:eastAsia="zh-CN"/>
                    </w:rPr>
                  </w:pPr>
                  <w:r>
                    <w:rPr>
                      <w:rFonts w:hint="default"/>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9" w:type="pct"/>
                  <w:vMerge w:val="continue"/>
                  <w:noWrap w:val="0"/>
                  <w:vAlign w:val="center"/>
                </w:tcPr>
                <w:p>
                  <w:pPr>
                    <w:spacing w:line="240" w:lineRule="auto"/>
                    <w:jc w:val="center"/>
                  </w:pPr>
                </w:p>
              </w:tc>
              <w:tc>
                <w:tcPr>
                  <w:tcW w:w="721" w:type="pct"/>
                  <w:vMerge w:val="continue"/>
                  <w:noWrap w:val="0"/>
                  <w:vAlign w:val="center"/>
                </w:tcPr>
                <w:p>
                  <w:pPr>
                    <w:spacing w:line="240" w:lineRule="auto"/>
                    <w:jc w:val="center"/>
                  </w:pPr>
                </w:p>
              </w:tc>
              <w:tc>
                <w:tcPr>
                  <w:tcW w:w="818" w:type="pct"/>
                  <w:vMerge w:val="continue"/>
                  <w:noWrap w:val="0"/>
                  <w:vAlign w:val="center"/>
                </w:tcPr>
                <w:p>
                  <w:pPr>
                    <w:spacing w:line="240" w:lineRule="auto"/>
                    <w:jc w:val="center"/>
                  </w:pPr>
                </w:p>
              </w:tc>
              <w:tc>
                <w:tcPr>
                  <w:tcW w:w="823" w:type="pct"/>
                  <w:noWrap w:val="0"/>
                  <w:vAlign w:val="center"/>
                </w:tcPr>
                <w:p>
                  <w:pPr>
                    <w:spacing w:line="240" w:lineRule="auto"/>
                    <w:jc w:val="center"/>
                    <w:rPr>
                      <w:rFonts w:hint="default"/>
                      <w:lang w:val="en-US" w:eastAsia="zh-CN"/>
                    </w:rPr>
                  </w:pPr>
                </w:p>
              </w:tc>
              <w:tc>
                <w:tcPr>
                  <w:tcW w:w="823" w:type="pct"/>
                  <w:vMerge w:val="continue"/>
                  <w:noWrap w:val="0"/>
                  <w:vAlign w:val="center"/>
                </w:tcPr>
                <w:p>
                  <w:pPr>
                    <w:spacing w:line="240" w:lineRule="auto"/>
                    <w:jc w:val="center"/>
                    <w:rPr>
                      <w:rFonts w:hint="default"/>
                      <w:lang w:val="en-US" w:eastAsia="zh-CN"/>
                    </w:rPr>
                  </w:pPr>
                </w:p>
              </w:tc>
              <w:tc>
                <w:tcPr>
                  <w:tcW w:w="823" w:type="pct"/>
                  <w:vMerge w:val="continue"/>
                  <w:noWrap w:val="0"/>
                  <w:vAlign w:val="center"/>
                </w:tcPr>
                <w:p>
                  <w:pPr>
                    <w:spacing w:line="240" w:lineRule="auto"/>
                    <w:jc w:val="center"/>
                    <w:rPr>
                      <w:rFonts w:hint="default"/>
                      <w:lang w:val="en-US" w:eastAsia="zh-CN"/>
                    </w:rPr>
                  </w:pPr>
                </w:p>
              </w:tc>
            </w:tr>
          </w:tbl>
          <w:p>
            <w:pPr>
              <w:pStyle w:val="9"/>
              <w:bidi w:val="0"/>
              <w:rPr>
                <w:rFonts w:hint="default"/>
                <w:lang w:val="en-US" w:eastAsia="zh-CN"/>
              </w:rPr>
            </w:pP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7  废水</w:t>
            </w:r>
            <w:r>
              <w:rPr>
                <w:rFonts w:hint="default"/>
                <w:lang w:val="en-US" w:eastAsia="zh-CN"/>
              </w:rPr>
              <w:t>全程序空白样汇总</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2268"/>
              <w:gridCol w:w="2112"/>
              <w:gridCol w:w="1122"/>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4" w:type="pct"/>
                  <w:noWrap w:val="0"/>
                  <w:vAlign w:val="center"/>
                </w:tcPr>
                <w:p>
                  <w:pPr>
                    <w:jc w:val="center"/>
                    <w:rPr>
                      <w:rFonts w:hint="default"/>
                      <w:lang w:eastAsia="zh-CN"/>
                    </w:rPr>
                  </w:pPr>
                  <w:r>
                    <w:rPr>
                      <w:rFonts w:hint="default"/>
                    </w:rPr>
                    <w:t>分析项目</w:t>
                  </w:r>
                </w:p>
              </w:tc>
              <w:tc>
                <w:tcPr>
                  <w:tcW w:w="1251" w:type="pct"/>
                  <w:noWrap w:val="0"/>
                  <w:vAlign w:val="center"/>
                </w:tcPr>
                <w:p>
                  <w:pPr>
                    <w:jc w:val="center"/>
                    <w:rPr>
                      <w:rFonts w:hint="default"/>
                      <w:lang w:val="en-US" w:eastAsia="zh-CN"/>
                    </w:rPr>
                  </w:pPr>
                  <w:r>
                    <w:rPr>
                      <w:rFonts w:hint="default"/>
                      <w:lang w:eastAsia="zh-CN"/>
                    </w:rPr>
                    <w:t>空白测试结果</w:t>
                  </w:r>
                  <w:r>
                    <w:rPr>
                      <w:rFonts w:hint="default"/>
                    </w:rPr>
                    <w:t>（mg/L）</w:t>
                  </w:r>
                </w:p>
              </w:tc>
              <w:tc>
                <w:tcPr>
                  <w:tcW w:w="1165" w:type="pct"/>
                  <w:noWrap w:val="0"/>
                  <w:vAlign w:val="center"/>
                </w:tcPr>
                <w:p>
                  <w:pPr>
                    <w:jc w:val="center"/>
                    <w:rPr>
                      <w:rFonts w:hint="default"/>
                      <w:lang w:val="en-US" w:eastAsia="zh-CN"/>
                    </w:rPr>
                  </w:pPr>
                  <w:r>
                    <w:rPr>
                      <w:rFonts w:hint="default"/>
                    </w:rPr>
                    <w:t>评价</w:t>
                  </w:r>
                  <w:r>
                    <w:rPr>
                      <w:rFonts w:hint="default"/>
                      <w:lang w:eastAsia="zh-CN"/>
                    </w:rPr>
                    <w:t>标准</w:t>
                  </w:r>
                  <w:r>
                    <w:rPr>
                      <w:rFonts w:hint="default"/>
                    </w:rPr>
                    <w:t>（mg/L）</w:t>
                  </w:r>
                </w:p>
              </w:tc>
              <w:tc>
                <w:tcPr>
                  <w:tcW w:w="619" w:type="pct"/>
                  <w:noWrap w:val="0"/>
                  <w:vAlign w:val="center"/>
                </w:tcPr>
                <w:p>
                  <w:pPr>
                    <w:jc w:val="center"/>
                    <w:rPr>
                      <w:rFonts w:hint="default"/>
                      <w:lang w:val="en-US" w:eastAsia="zh-CN"/>
                    </w:rPr>
                  </w:pPr>
                  <w:r>
                    <w:rPr>
                      <w:rFonts w:hint="default"/>
                      <w:lang w:eastAsia="zh-CN"/>
                    </w:rPr>
                    <w:t>评定结果</w:t>
                  </w:r>
                </w:p>
              </w:tc>
              <w:tc>
                <w:tcPr>
                  <w:tcW w:w="1019" w:type="pct"/>
                  <w:noWrap w:val="0"/>
                  <w:vAlign w:val="center"/>
                </w:tcPr>
                <w:p>
                  <w:pPr>
                    <w:jc w:val="center"/>
                    <w:rPr>
                      <w:rFonts w:hint="default"/>
                      <w:lang w:val="en-US" w:eastAsia="zh-CN"/>
                    </w:rPr>
                  </w:pPr>
                  <w:r>
                    <w:rPr>
                      <w:rFonts w:hint="default"/>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4" w:type="pct"/>
                  <w:noWrap w:val="0"/>
                  <w:vAlign w:val="center"/>
                </w:tcPr>
                <w:p>
                  <w:pPr>
                    <w:spacing w:line="240" w:lineRule="auto"/>
                    <w:jc w:val="center"/>
                    <w:rPr>
                      <w:rFonts w:hint="default"/>
                      <w:lang w:val="en-US" w:eastAsia="zh-CN"/>
                    </w:rPr>
                  </w:pPr>
                  <w:r>
                    <w:rPr>
                      <w:rFonts w:hint="eastAsia"/>
                      <w:lang w:val="en-US" w:eastAsia="zh-CN"/>
                    </w:rPr>
                    <w:t>氨氮</w:t>
                  </w:r>
                </w:p>
              </w:tc>
              <w:tc>
                <w:tcPr>
                  <w:tcW w:w="1251" w:type="pct"/>
                  <w:noWrap w:val="0"/>
                  <w:vAlign w:val="center"/>
                </w:tcPr>
                <w:p>
                  <w:pPr>
                    <w:keepNext w:val="0"/>
                    <w:keepLines w:val="0"/>
                    <w:widowControl/>
                    <w:suppressLineNumbers w:val="0"/>
                    <w:jc w:val="center"/>
                    <w:textAlignment w:val="center"/>
                    <w:rPr>
                      <w:rFonts w:hint="default"/>
                      <w:lang w:val="en-US" w:eastAsia="zh-CN"/>
                    </w:rPr>
                  </w:pPr>
                </w:p>
              </w:tc>
              <w:tc>
                <w:tcPr>
                  <w:tcW w:w="1165" w:type="pct"/>
                  <w:noWrap w:val="0"/>
                  <w:vAlign w:val="center"/>
                </w:tcPr>
                <w:p>
                  <w:pPr>
                    <w:keepNext w:val="0"/>
                    <w:keepLines w:val="0"/>
                    <w:widowControl/>
                    <w:suppressLineNumbers w:val="0"/>
                    <w:jc w:val="center"/>
                    <w:textAlignment w:val="center"/>
                    <w:rPr>
                      <w:rFonts w:hint="default"/>
                      <w:lang w:val="en-US" w:eastAsia="zh-CN"/>
                    </w:rPr>
                  </w:pPr>
                </w:p>
              </w:tc>
              <w:tc>
                <w:tcPr>
                  <w:tcW w:w="619" w:type="pct"/>
                  <w:noWrap w:val="0"/>
                  <w:vAlign w:val="center"/>
                </w:tcPr>
                <w:p>
                  <w:pPr>
                    <w:jc w:val="center"/>
                    <w:rPr>
                      <w:rFonts w:hint="default"/>
                      <w:lang w:val="en-US" w:eastAsia="zh-CN"/>
                    </w:rPr>
                  </w:pPr>
                  <w:r>
                    <w:rPr>
                      <w:rFonts w:hint="default"/>
                    </w:rPr>
                    <w:t>合格</w:t>
                  </w:r>
                </w:p>
              </w:tc>
              <w:tc>
                <w:tcPr>
                  <w:tcW w:w="1019" w:type="pct"/>
                  <w:noWrap w:val="0"/>
                  <w:vAlign w:val="center"/>
                </w:tcPr>
                <w:p>
                  <w:pPr>
                    <w:jc w:val="center"/>
                    <w:rPr>
                      <w:rFonts w:hint="default"/>
                      <w:lang w:val="en-US" w:eastAsia="zh-CN"/>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4" w:type="pct"/>
                  <w:noWrap w:val="0"/>
                  <w:vAlign w:val="center"/>
                </w:tcPr>
                <w:p>
                  <w:pPr>
                    <w:spacing w:line="240" w:lineRule="auto"/>
                    <w:jc w:val="center"/>
                    <w:rPr>
                      <w:rFonts w:hint="default"/>
                      <w:lang w:val="en-US" w:eastAsia="zh-CN"/>
                    </w:rPr>
                  </w:pPr>
                  <w:r>
                    <w:rPr>
                      <w:rFonts w:hint="eastAsia"/>
                      <w:lang w:val="en-US" w:eastAsia="zh-CN"/>
                    </w:rPr>
                    <w:t>总磷</w:t>
                  </w:r>
                </w:p>
              </w:tc>
              <w:tc>
                <w:tcPr>
                  <w:tcW w:w="1251" w:type="pct"/>
                  <w:noWrap w:val="0"/>
                  <w:vAlign w:val="center"/>
                </w:tcPr>
                <w:p>
                  <w:pPr>
                    <w:keepNext w:val="0"/>
                    <w:keepLines w:val="0"/>
                    <w:widowControl/>
                    <w:suppressLineNumbers w:val="0"/>
                    <w:jc w:val="center"/>
                    <w:textAlignment w:val="center"/>
                    <w:rPr>
                      <w:rFonts w:hint="default"/>
                      <w:lang w:val="en-US" w:eastAsia="zh-CN"/>
                    </w:rPr>
                  </w:pPr>
                </w:p>
              </w:tc>
              <w:tc>
                <w:tcPr>
                  <w:tcW w:w="1165" w:type="pct"/>
                  <w:noWrap w:val="0"/>
                  <w:vAlign w:val="center"/>
                </w:tcPr>
                <w:p>
                  <w:pPr>
                    <w:keepNext w:val="0"/>
                    <w:keepLines w:val="0"/>
                    <w:widowControl/>
                    <w:suppressLineNumbers w:val="0"/>
                    <w:jc w:val="center"/>
                    <w:textAlignment w:val="center"/>
                    <w:rPr>
                      <w:rFonts w:hint="default"/>
                      <w:lang w:val="en-US" w:eastAsia="zh-CN"/>
                    </w:rPr>
                  </w:pPr>
                </w:p>
              </w:tc>
              <w:tc>
                <w:tcPr>
                  <w:tcW w:w="619" w:type="pct"/>
                  <w:noWrap w:val="0"/>
                  <w:vAlign w:val="center"/>
                </w:tcPr>
                <w:p>
                  <w:pPr>
                    <w:jc w:val="center"/>
                    <w:rPr>
                      <w:rFonts w:hint="default"/>
                      <w:lang w:val="en-US" w:eastAsia="zh-CN"/>
                    </w:rPr>
                  </w:pPr>
                  <w:r>
                    <w:rPr>
                      <w:rFonts w:hint="default"/>
                    </w:rPr>
                    <w:t>合格</w:t>
                  </w:r>
                </w:p>
              </w:tc>
              <w:tc>
                <w:tcPr>
                  <w:tcW w:w="1019" w:type="pct"/>
                  <w:noWrap w:val="0"/>
                  <w:vAlign w:val="center"/>
                </w:tcPr>
                <w:p>
                  <w:pPr>
                    <w:jc w:val="center"/>
                    <w:rPr>
                      <w:rFonts w:hint="default"/>
                      <w:lang w:val="en-US" w:eastAsia="zh-CN"/>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4" w:type="pct"/>
                  <w:noWrap w:val="0"/>
                  <w:vAlign w:val="center"/>
                </w:tcPr>
                <w:p>
                  <w:pPr>
                    <w:spacing w:line="240" w:lineRule="auto"/>
                    <w:jc w:val="center"/>
                    <w:rPr>
                      <w:rFonts w:hint="default"/>
                      <w:lang w:val="en-US" w:eastAsia="zh-CN"/>
                    </w:rPr>
                  </w:pPr>
                  <w:r>
                    <w:rPr>
                      <w:rFonts w:hint="eastAsia"/>
                      <w:lang w:val="en-US" w:eastAsia="zh-CN"/>
                    </w:rPr>
                    <w:t>化学需氧量</w:t>
                  </w:r>
                </w:p>
              </w:tc>
              <w:tc>
                <w:tcPr>
                  <w:tcW w:w="1251" w:type="pct"/>
                  <w:noWrap w:val="0"/>
                  <w:vAlign w:val="center"/>
                </w:tcPr>
                <w:p>
                  <w:pPr>
                    <w:keepNext w:val="0"/>
                    <w:keepLines w:val="0"/>
                    <w:widowControl/>
                    <w:suppressLineNumbers w:val="0"/>
                    <w:jc w:val="center"/>
                    <w:textAlignment w:val="top"/>
                    <w:rPr>
                      <w:rFonts w:hint="default"/>
                      <w:lang w:val="en-US" w:eastAsia="zh-CN"/>
                    </w:rPr>
                  </w:pPr>
                </w:p>
              </w:tc>
              <w:tc>
                <w:tcPr>
                  <w:tcW w:w="1165" w:type="pct"/>
                  <w:noWrap w:val="0"/>
                  <w:vAlign w:val="center"/>
                </w:tcPr>
                <w:p>
                  <w:pPr>
                    <w:keepNext w:val="0"/>
                    <w:keepLines w:val="0"/>
                    <w:widowControl/>
                    <w:suppressLineNumbers w:val="0"/>
                    <w:jc w:val="center"/>
                    <w:textAlignment w:val="top"/>
                    <w:rPr>
                      <w:rFonts w:hint="default"/>
                      <w:lang w:val="en-US" w:eastAsia="zh-CN"/>
                    </w:rPr>
                  </w:pPr>
                </w:p>
              </w:tc>
              <w:tc>
                <w:tcPr>
                  <w:tcW w:w="619" w:type="pct"/>
                  <w:noWrap w:val="0"/>
                  <w:vAlign w:val="center"/>
                </w:tcPr>
                <w:p>
                  <w:pPr>
                    <w:jc w:val="center"/>
                    <w:rPr>
                      <w:rFonts w:hint="default"/>
                      <w:lang w:val="en-US" w:eastAsia="zh-CN"/>
                    </w:rPr>
                  </w:pPr>
                  <w:r>
                    <w:rPr>
                      <w:rFonts w:hint="default"/>
                    </w:rPr>
                    <w:t>合格</w:t>
                  </w:r>
                </w:p>
              </w:tc>
              <w:tc>
                <w:tcPr>
                  <w:tcW w:w="1019" w:type="pct"/>
                  <w:noWrap w:val="0"/>
                  <w:vAlign w:val="center"/>
                </w:tcPr>
                <w:p>
                  <w:pPr>
                    <w:jc w:val="center"/>
                    <w:rPr>
                      <w:rFonts w:hint="default"/>
                      <w:lang w:val="en-US" w:eastAsia="zh-CN"/>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44" w:type="pct"/>
                  <w:noWrap w:val="0"/>
                  <w:vAlign w:val="center"/>
                </w:tcPr>
                <w:p>
                  <w:pPr>
                    <w:spacing w:line="240" w:lineRule="auto"/>
                    <w:jc w:val="center"/>
                    <w:rPr>
                      <w:rFonts w:hint="default"/>
                      <w:lang w:val="en-US" w:eastAsia="zh-CN"/>
                    </w:rPr>
                  </w:pPr>
                  <w:r>
                    <w:rPr>
                      <w:rFonts w:hint="eastAsia"/>
                      <w:lang w:val="en-US" w:eastAsia="zh-CN"/>
                    </w:rPr>
                    <w:t>五日生化需氧量</w:t>
                  </w:r>
                </w:p>
              </w:tc>
              <w:tc>
                <w:tcPr>
                  <w:tcW w:w="1251" w:type="pct"/>
                  <w:noWrap w:val="0"/>
                  <w:vAlign w:val="center"/>
                </w:tcPr>
                <w:p>
                  <w:pPr>
                    <w:keepNext w:val="0"/>
                    <w:keepLines w:val="0"/>
                    <w:widowControl/>
                    <w:suppressLineNumbers w:val="0"/>
                    <w:jc w:val="center"/>
                    <w:textAlignment w:val="top"/>
                    <w:rPr>
                      <w:rFonts w:hint="default"/>
                      <w:lang w:val="en-US" w:eastAsia="zh-CN"/>
                    </w:rPr>
                  </w:pPr>
                </w:p>
              </w:tc>
              <w:tc>
                <w:tcPr>
                  <w:tcW w:w="1165" w:type="pct"/>
                  <w:noWrap w:val="0"/>
                  <w:vAlign w:val="center"/>
                </w:tcPr>
                <w:p>
                  <w:pPr>
                    <w:keepNext w:val="0"/>
                    <w:keepLines w:val="0"/>
                    <w:widowControl/>
                    <w:suppressLineNumbers w:val="0"/>
                    <w:jc w:val="center"/>
                    <w:textAlignment w:val="top"/>
                    <w:rPr>
                      <w:rFonts w:hint="default"/>
                      <w:lang w:val="en-US" w:eastAsia="zh-CN"/>
                    </w:rPr>
                  </w:pPr>
                </w:p>
              </w:tc>
              <w:tc>
                <w:tcPr>
                  <w:tcW w:w="619" w:type="pct"/>
                  <w:noWrap w:val="0"/>
                  <w:vAlign w:val="center"/>
                </w:tcPr>
                <w:p>
                  <w:pPr>
                    <w:jc w:val="center"/>
                    <w:rPr>
                      <w:rFonts w:hint="default"/>
                      <w:lang w:val="en-US" w:eastAsia="zh-CN"/>
                    </w:rPr>
                  </w:pPr>
                  <w:r>
                    <w:rPr>
                      <w:rFonts w:hint="default"/>
                    </w:rPr>
                    <w:t>合格</w:t>
                  </w:r>
                </w:p>
              </w:tc>
              <w:tc>
                <w:tcPr>
                  <w:tcW w:w="1019" w:type="pct"/>
                  <w:noWrap w:val="0"/>
                  <w:vAlign w:val="center"/>
                </w:tcPr>
                <w:p>
                  <w:pPr>
                    <w:jc w:val="center"/>
                    <w:rPr>
                      <w:rFonts w:hint="default"/>
                      <w:lang w:val="en-US" w:eastAsia="zh-CN"/>
                    </w:rPr>
                  </w:pPr>
                  <w:r>
                    <w:rPr>
                      <w:rFonts w:hint="default"/>
                      <w:lang w:val="en-US" w:eastAsia="zh-CN"/>
                    </w:rPr>
                    <w:t>/</w:t>
                  </w:r>
                </w:p>
              </w:tc>
            </w:tr>
          </w:tbl>
          <w:p>
            <w:pPr>
              <w:pStyle w:val="7"/>
              <w:bidi w:val="0"/>
              <w:rPr>
                <w:rFonts w:hint="default"/>
                <w:lang w:val="en-US" w:eastAsia="zh-CN"/>
              </w:rPr>
            </w:pPr>
            <w:r>
              <w:rPr>
                <w:rFonts w:hint="default"/>
                <w:lang w:val="en-US" w:eastAsia="zh-CN"/>
              </w:rPr>
              <w:t>5.2.</w:t>
            </w:r>
            <w:r>
              <w:rPr>
                <w:rFonts w:hint="eastAsia"/>
                <w:lang w:val="en-US" w:eastAsia="zh-CN"/>
              </w:rPr>
              <w:t>3噪声</w:t>
            </w:r>
            <w:r>
              <w:rPr>
                <w:rFonts w:hint="default"/>
                <w:lang w:val="en-US" w:eastAsia="zh-CN"/>
              </w:rPr>
              <w:t>质量控制</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sz w:val="24"/>
                <w:szCs w:val="24"/>
                <w:lang w:val="en-US" w:eastAsia="zh-CN"/>
              </w:rPr>
            </w:pPr>
            <w:r>
              <w:rPr>
                <w:rFonts w:hint="default"/>
                <w:sz w:val="24"/>
                <w:szCs w:val="24"/>
                <w:lang w:eastAsia="zh-CN"/>
              </w:rPr>
              <w:t>此次</w:t>
            </w:r>
            <w:r>
              <w:rPr>
                <w:rFonts w:hint="eastAsia"/>
                <w:sz w:val="24"/>
                <w:szCs w:val="24"/>
                <w:lang w:val="en-US" w:eastAsia="zh-CN"/>
              </w:rPr>
              <w:t>验收检测噪声仪校准</w:t>
            </w:r>
            <w:r>
              <w:rPr>
                <w:rFonts w:hint="default"/>
                <w:sz w:val="24"/>
                <w:szCs w:val="24"/>
                <w:lang w:eastAsia="zh-CN"/>
              </w:rPr>
              <w:t>见表</w:t>
            </w:r>
            <w:r>
              <w:rPr>
                <w:rFonts w:hint="default"/>
                <w:sz w:val="24"/>
                <w:szCs w:val="24"/>
                <w:lang w:val="en-US" w:eastAsia="zh-CN"/>
              </w:rPr>
              <w:t>5.</w:t>
            </w:r>
            <w:r>
              <w:rPr>
                <w:rFonts w:hint="eastAsia"/>
                <w:sz w:val="24"/>
                <w:szCs w:val="24"/>
                <w:lang w:val="en-US" w:eastAsia="zh-CN"/>
              </w:rPr>
              <w:t>2</w:t>
            </w:r>
            <w:r>
              <w:rPr>
                <w:rFonts w:hint="default"/>
                <w:sz w:val="24"/>
                <w:szCs w:val="24"/>
                <w:lang w:eastAsia="zh-CN"/>
              </w:rPr>
              <w:t>-</w:t>
            </w:r>
            <w:r>
              <w:rPr>
                <w:rFonts w:hint="eastAsia"/>
                <w:sz w:val="24"/>
                <w:szCs w:val="24"/>
                <w:lang w:val="en-US" w:eastAsia="zh-CN"/>
              </w:rPr>
              <w:t>8</w:t>
            </w:r>
            <w:r>
              <w:rPr>
                <w:rFonts w:hint="default"/>
                <w:sz w:val="24"/>
                <w:szCs w:val="24"/>
                <w:lang w:val="en-US" w:eastAsia="zh-CN"/>
              </w:rPr>
              <w:t>。</w:t>
            </w:r>
          </w:p>
          <w:p>
            <w:pPr>
              <w:pStyle w:val="9"/>
              <w:bidi w:val="0"/>
              <w:rPr>
                <w:rFonts w:hint="default"/>
                <w:lang w:val="en-US" w:eastAsia="zh-CN"/>
              </w:rPr>
            </w:pP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 xml:space="preserve">8  </w:t>
            </w:r>
            <w:r>
              <w:rPr>
                <w:rFonts w:hint="default"/>
                <w:lang w:val="en-US" w:eastAsia="zh-CN"/>
              </w:rPr>
              <w:t>噪声仪校准一览表</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250"/>
              <w:gridCol w:w="1567"/>
              <w:gridCol w:w="1466"/>
              <w:gridCol w:w="1466"/>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22" w:type="pct"/>
                  <w:noWrap w:val="0"/>
                  <w:vAlign w:val="center"/>
                </w:tcPr>
                <w:p>
                  <w:pPr>
                    <w:widowControl w:val="0"/>
                    <w:adjustRightInd w:val="0"/>
                    <w:snapToGrid w:val="0"/>
                    <w:spacing w:line="240" w:lineRule="auto"/>
                    <w:jc w:val="center"/>
                    <w:rPr>
                      <w:rFonts w:hint="default"/>
                      <w:lang w:val="en-US" w:eastAsia="zh-CN"/>
                    </w:rPr>
                  </w:pPr>
                  <w:r>
                    <w:rPr>
                      <w:rFonts w:hint="default"/>
                      <w:lang w:val="en-US" w:eastAsia="zh-CN"/>
                    </w:rPr>
                    <w:t>检测日期</w:t>
                  </w:r>
                </w:p>
              </w:tc>
              <w:tc>
                <w:tcPr>
                  <w:tcW w:w="690" w:type="pct"/>
                  <w:noWrap w:val="0"/>
                  <w:vAlign w:val="center"/>
                </w:tcPr>
                <w:p>
                  <w:pPr>
                    <w:tabs>
                      <w:tab w:val="center" w:pos="4153"/>
                      <w:tab w:val="right" w:pos="8306"/>
                    </w:tabs>
                    <w:suppressAutoHyphens/>
                    <w:snapToGrid w:val="0"/>
                    <w:spacing w:line="240" w:lineRule="auto"/>
                    <w:jc w:val="center"/>
                    <w:rPr>
                      <w:rFonts w:hint="eastAsia"/>
                      <w:lang w:eastAsia="zh-CN"/>
                    </w:rPr>
                  </w:pPr>
                  <w:r>
                    <w:rPr>
                      <w:rFonts w:hint="eastAsia"/>
                      <w:lang w:eastAsia="zh-CN"/>
                    </w:rPr>
                    <w:t>管理编号</w:t>
                  </w:r>
                </w:p>
              </w:tc>
              <w:tc>
                <w:tcPr>
                  <w:tcW w:w="865" w:type="pct"/>
                  <w:noWrap w:val="0"/>
                  <w:vAlign w:val="center"/>
                </w:tcPr>
                <w:p>
                  <w:pPr>
                    <w:tabs>
                      <w:tab w:val="center" w:pos="4153"/>
                      <w:tab w:val="right" w:pos="8306"/>
                    </w:tabs>
                    <w:suppressAutoHyphens/>
                    <w:snapToGrid w:val="0"/>
                    <w:spacing w:line="240" w:lineRule="auto"/>
                    <w:jc w:val="center"/>
                    <w:rPr>
                      <w:rFonts w:hint="default"/>
                      <w:lang w:val="en-US" w:eastAsia="zh-CN"/>
                    </w:rPr>
                  </w:pPr>
                  <w:r>
                    <w:rPr>
                      <w:rFonts w:hint="default"/>
                    </w:rPr>
                    <w:t>仪器名称</w:t>
                  </w:r>
                </w:p>
              </w:tc>
              <w:tc>
                <w:tcPr>
                  <w:tcW w:w="809" w:type="pct"/>
                  <w:noWrap w:val="0"/>
                  <w:vAlign w:val="center"/>
                </w:tcPr>
                <w:p>
                  <w:pPr>
                    <w:tabs>
                      <w:tab w:val="center" w:pos="4153"/>
                      <w:tab w:val="right" w:pos="8306"/>
                    </w:tabs>
                    <w:suppressAutoHyphens/>
                    <w:snapToGrid w:val="0"/>
                    <w:spacing w:line="240" w:lineRule="auto"/>
                    <w:jc w:val="center"/>
                    <w:rPr>
                      <w:rFonts w:hint="default"/>
                    </w:rPr>
                  </w:pPr>
                  <w:r>
                    <w:rPr>
                      <w:rFonts w:hint="default"/>
                    </w:rPr>
                    <w:t>测量前示值</w:t>
                  </w:r>
                </w:p>
              </w:tc>
              <w:tc>
                <w:tcPr>
                  <w:tcW w:w="809" w:type="pct"/>
                  <w:noWrap w:val="0"/>
                  <w:vAlign w:val="center"/>
                </w:tcPr>
                <w:p>
                  <w:pPr>
                    <w:tabs>
                      <w:tab w:val="center" w:pos="4153"/>
                      <w:tab w:val="right" w:pos="8306"/>
                    </w:tabs>
                    <w:suppressAutoHyphens/>
                    <w:snapToGrid w:val="0"/>
                    <w:spacing w:line="240" w:lineRule="auto"/>
                    <w:jc w:val="center"/>
                    <w:rPr>
                      <w:rFonts w:hint="default"/>
                    </w:rPr>
                  </w:pPr>
                  <w:r>
                    <w:rPr>
                      <w:rFonts w:hint="default"/>
                    </w:rPr>
                    <w:t>测量后示值</w:t>
                  </w:r>
                </w:p>
              </w:tc>
              <w:tc>
                <w:tcPr>
                  <w:tcW w:w="803" w:type="pct"/>
                  <w:noWrap w:val="0"/>
                  <w:vAlign w:val="center"/>
                </w:tcPr>
                <w:p>
                  <w:pPr>
                    <w:tabs>
                      <w:tab w:val="center" w:pos="4153"/>
                      <w:tab w:val="right" w:pos="8306"/>
                    </w:tabs>
                    <w:suppressAutoHyphens/>
                    <w:snapToGrid w:val="0"/>
                    <w:spacing w:line="240" w:lineRule="auto"/>
                    <w:jc w:val="center"/>
                    <w:rPr>
                      <w:rFonts w:hint="default"/>
                    </w:rPr>
                  </w:pPr>
                  <w:r>
                    <w:rPr>
                      <w:rFonts w:hint="default"/>
                    </w:rPr>
                    <w:t>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22" w:type="pct"/>
                  <w:noWrap w:val="0"/>
                  <w:vAlign w:val="center"/>
                </w:tcPr>
                <w:p>
                  <w:pPr>
                    <w:jc w:val="center"/>
                    <w:rPr>
                      <w:rFonts w:hint="default"/>
                    </w:rPr>
                  </w:pPr>
                  <w:r>
                    <w:rPr>
                      <w:rFonts w:hint="eastAsia"/>
                      <w:lang w:val="en-US" w:eastAsia="zh-CN"/>
                    </w:rPr>
                    <w:t>10月16日</w:t>
                  </w:r>
                  <w:r>
                    <w:rPr>
                      <w:rFonts w:hint="default"/>
                      <w:lang w:eastAsia="zh-CN"/>
                    </w:rPr>
                    <w:t>（昼间）</w:t>
                  </w:r>
                </w:p>
              </w:tc>
              <w:tc>
                <w:tcPr>
                  <w:tcW w:w="690" w:type="pct"/>
                  <w:vMerge w:val="restart"/>
                  <w:noWrap w:val="0"/>
                  <w:vAlign w:val="center"/>
                </w:tcPr>
                <w:p>
                  <w:pPr>
                    <w:jc w:val="center"/>
                    <w:rPr>
                      <w:rFonts w:hint="default"/>
                      <w:lang w:val="en-US" w:eastAsia="zh-CN"/>
                    </w:rPr>
                  </w:pPr>
                  <w:r>
                    <w:rPr>
                      <w:rFonts w:hint="eastAsia"/>
                      <w:lang w:val="en-US" w:eastAsia="zh-CN"/>
                    </w:rPr>
                    <w:t>CTS-415</w:t>
                  </w:r>
                </w:p>
              </w:tc>
              <w:tc>
                <w:tcPr>
                  <w:tcW w:w="865" w:type="pct"/>
                  <w:vMerge w:val="restart"/>
                  <w:noWrap w:val="0"/>
                  <w:vAlign w:val="center"/>
                </w:tcPr>
                <w:p>
                  <w:pPr>
                    <w:jc w:val="center"/>
                    <w:rPr>
                      <w:rFonts w:hint="default"/>
                      <w:lang w:val="en-US" w:eastAsia="zh-CN"/>
                    </w:rPr>
                  </w:pPr>
                  <w:r>
                    <w:rPr>
                      <w:rFonts w:hint="default"/>
                      <w:lang w:eastAsia="zh-CN"/>
                    </w:rPr>
                    <w:t>多功能声级计AWA</w:t>
                  </w:r>
                  <w:r>
                    <w:rPr>
                      <w:rFonts w:hint="eastAsia"/>
                      <w:lang w:val="en-US" w:eastAsia="zh-CN"/>
                    </w:rPr>
                    <w:t>5688</w:t>
                  </w:r>
                </w:p>
              </w:tc>
              <w:tc>
                <w:tcPr>
                  <w:tcW w:w="809" w:type="pct"/>
                  <w:noWrap w:val="0"/>
                  <w:vAlign w:val="center"/>
                </w:tcPr>
                <w:p>
                  <w:pPr>
                    <w:tabs>
                      <w:tab w:val="center" w:pos="4153"/>
                      <w:tab w:val="right" w:pos="8306"/>
                    </w:tabs>
                    <w:suppressAutoHyphens/>
                    <w:snapToGrid w:val="0"/>
                    <w:spacing w:line="240" w:lineRule="auto"/>
                    <w:jc w:val="center"/>
                    <w:rPr>
                      <w:rFonts w:hint="default"/>
                      <w:lang w:val="en-US" w:eastAsia="zh-CN"/>
                    </w:rPr>
                  </w:pPr>
                </w:p>
              </w:tc>
              <w:tc>
                <w:tcPr>
                  <w:tcW w:w="809" w:type="pct"/>
                  <w:noWrap w:val="0"/>
                  <w:vAlign w:val="center"/>
                </w:tcPr>
                <w:p>
                  <w:pPr>
                    <w:tabs>
                      <w:tab w:val="center" w:pos="4153"/>
                      <w:tab w:val="right" w:pos="8306"/>
                    </w:tabs>
                    <w:suppressAutoHyphens/>
                    <w:snapToGrid w:val="0"/>
                    <w:spacing w:line="240" w:lineRule="auto"/>
                    <w:jc w:val="center"/>
                    <w:rPr>
                      <w:rFonts w:hint="default"/>
                      <w:lang w:val="en-US" w:eastAsia="zh-CN"/>
                    </w:rPr>
                  </w:pPr>
                </w:p>
              </w:tc>
              <w:tc>
                <w:tcPr>
                  <w:tcW w:w="803" w:type="pct"/>
                  <w:noWrap w:val="0"/>
                  <w:vAlign w:val="center"/>
                </w:tcPr>
                <w:p>
                  <w:pPr>
                    <w:tabs>
                      <w:tab w:val="center" w:pos="4153"/>
                      <w:tab w:val="right" w:pos="8306"/>
                    </w:tabs>
                    <w:suppressAutoHyphens/>
                    <w:snapToGrid w:val="0"/>
                    <w:spacing w:line="240" w:lineRule="auto"/>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22" w:type="pct"/>
                  <w:noWrap w:val="0"/>
                  <w:vAlign w:val="center"/>
                </w:tcPr>
                <w:p>
                  <w:pPr>
                    <w:jc w:val="center"/>
                    <w:rPr>
                      <w:rFonts w:hint="eastAsia"/>
                      <w:lang w:val="en-US" w:eastAsia="zh-CN"/>
                    </w:rPr>
                  </w:pPr>
                  <w:r>
                    <w:rPr>
                      <w:rFonts w:hint="eastAsia"/>
                      <w:lang w:val="en-US" w:eastAsia="zh-CN"/>
                    </w:rPr>
                    <w:t>10月16日</w:t>
                  </w:r>
                  <w:r>
                    <w:rPr>
                      <w:rFonts w:hint="default"/>
                      <w:lang w:eastAsia="zh-CN"/>
                    </w:rPr>
                    <w:t>（</w:t>
                  </w:r>
                  <w:r>
                    <w:rPr>
                      <w:rFonts w:hint="eastAsia"/>
                      <w:lang w:eastAsia="zh-CN"/>
                    </w:rPr>
                    <w:t>夜</w:t>
                  </w:r>
                  <w:r>
                    <w:rPr>
                      <w:rFonts w:hint="default"/>
                      <w:lang w:eastAsia="zh-CN"/>
                    </w:rPr>
                    <w:t>间）</w:t>
                  </w:r>
                </w:p>
              </w:tc>
              <w:tc>
                <w:tcPr>
                  <w:tcW w:w="690" w:type="pct"/>
                  <w:vMerge w:val="continue"/>
                  <w:noWrap w:val="0"/>
                  <w:vAlign w:val="center"/>
                </w:tcPr>
                <w:p>
                  <w:pPr>
                    <w:jc w:val="center"/>
                    <w:rPr>
                      <w:rFonts w:hint="eastAsia"/>
                      <w:lang w:val="en-US" w:eastAsia="zh-CN"/>
                    </w:rPr>
                  </w:pPr>
                </w:p>
              </w:tc>
              <w:tc>
                <w:tcPr>
                  <w:tcW w:w="865" w:type="pct"/>
                  <w:vMerge w:val="continue"/>
                  <w:noWrap w:val="0"/>
                  <w:vAlign w:val="center"/>
                </w:tcPr>
                <w:p>
                  <w:pPr>
                    <w:jc w:val="center"/>
                    <w:rPr>
                      <w:rFonts w:hint="default"/>
                      <w:lang w:eastAsia="zh-CN"/>
                    </w:rPr>
                  </w:pPr>
                </w:p>
              </w:tc>
              <w:tc>
                <w:tcPr>
                  <w:tcW w:w="809" w:type="pct"/>
                  <w:noWrap w:val="0"/>
                  <w:vAlign w:val="center"/>
                </w:tcPr>
                <w:p>
                  <w:pPr>
                    <w:tabs>
                      <w:tab w:val="center" w:pos="4153"/>
                      <w:tab w:val="right" w:pos="8306"/>
                    </w:tabs>
                    <w:suppressAutoHyphens/>
                    <w:snapToGrid w:val="0"/>
                    <w:spacing w:line="240" w:lineRule="auto"/>
                    <w:jc w:val="center"/>
                    <w:rPr>
                      <w:rFonts w:hint="default"/>
                      <w:lang w:val="en-US" w:eastAsia="zh-CN"/>
                    </w:rPr>
                  </w:pPr>
                </w:p>
              </w:tc>
              <w:tc>
                <w:tcPr>
                  <w:tcW w:w="809" w:type="pct"/>
                  <w:noWrap w:val="0"/>
                  <w:vAlign w:val="center"/>
                </w:tcPr>
                <w:p>
                  <w:pPr>
                    <w:tabs>
                      <w:tab w:val="center" w:pos="4153"/>
                      <w:tab w:val="right" w:pos="8306"/>
                    </w:tabs>
                    <w:suppressAutoHyphens/>
                    <w:snapToGrid w:val="0"/>
                    <w:spacing w:line="240" w:lineRule="auto"/>
                    <w:jc w:val="center"/>
                    <w:rPr>
                      <w:rFonts w:hint="default"/>
                      <w:lang w:val="en-US" w:eastAsia="zh-CN"/>
                    </w:rPr>
                  </w:pPr>
                </w:p>
              </w:tc>
              <w:tc>
                <w:tcPr>
                  <w:tcW w:w="803" w:type="pct"/>
                  <w:noWrap w:val="0"/>
                  <w:vAlign w:val="center"/>
                </w:tcPr>
                <w:p>
                  <w:pPr>
                    <w:suppressAutoHyphens/>
                    <w:snapToGrid w:val="0"/>
                    <w:spacing w:line="240" w:lineRule="auto"/>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22" w:type="pct"/>
                  <w:noWrap w:val="0"/>
                  <w:vAlign w:val="center"/>
                </w:tcPr>
                <w:p>
                  <w:pPr>
                    <w:jc w:val="center"/>
                    <w:rPr>
                      <w:rFonts w:hint="default"/>
                    </w:rPr>
                  </w:pPr>
                  <w:r>
                    <w:rPr>
                      <w:rFonts w:hint="eastAsia"/>
                      <w:lang w:val="en-US" w:eastAsia="zh-CN"/>
                    </w:rPr>
                    <w:t>10月17日</w:t>
                  </w:r>
                  <w:r>
                    <w:rPr>
                      <w:rFonts w:hint="default"/>
                      <w:lang w:eastAsia="zh-CN"/>
                    </w:rPr>
                    <w:t>（昼间）</w:t>
                  </w:r>
                </w:p>
              </w:tc>
              <w:tc>
                <w:tcPr>
                  <w:tcW w:w="690" w:type="pct"/>
                  <w:vMerge w:val="continue"/>
                  <w:noWrap w:val="0"/>
                  <w:vAlign w:val="center"/>
                </w:tcPr>
                <w:p>
                  <w:pPr>
                    <w:jc w:val="center"/>
                    <w:rPr>
                      <w:rFonts w:hint="default"/>
                      <w:lang w:val="en-US" w:eastAsia="zh-CN"/>
                    </w:rPr>
                  </w:pPr>
                </w:p>
              </w:tc>
              <w:tc>
                <w:tcPr>
                  <w:tcW w:w="865" w:type="pct"/>
                  <w:vMerge w:val="continue"/>
                  <w:noWrap w:val="0"/>
                  <w:vAlign w:val="center"/>
                </w:tcPr>
                <w:p>
                  <w:pPr>
                    <w:jc w:val="center"/>
                    <w:rPr>
                      <w:rFonts w:hint="default"/>
                      <w:lang w:val="en-US" w:eastAsia="zh-CN"/>
                    </w:rPr>
                  </w:pPr>
                </w:p>
              </w:tc>
              <w:tc>
                <w:tcPr>
                  <w:tcW w:w="809" w:type="pct"/>
                  <w:noWrap w:val="0"/>
                  <w:vAlign w:val="center"/>
                </w:tcPr>
                <w:p>
                  <w:pPr>
                    <w:tabs>
                      <w:tab w:val="center" w:pos="4153"/>
                      <w:tab w:val="right" w:pos="8306"/>
                    </w:tabs>
                    <w:suppressAutoHyphens/>
                    <w:snapToGrid w:val="0"/>
                    <w:spacing w:line="240" w:lineRule="auto"/>
                    <w:jc w:val="center"/>
                    <w:rPr>
                      <w:rFonts w:hint="default"/>
                      <w:lang w:val="en-US" w:eastAsia="zh-CN"/>
                    </w:rPr>
                  </w:pPr>
                </w:p>
              </w:tc>
              <w:tc>
                <w:tcPr>
                  <w:tcW w:w="809" w:type="pct"/>
                  <w:noWrap w:val="0"/>
                  <w:vAlign w:val="center"/>
                </w:tcPr>
                <w:p>
                  <w:pPr>
                    <w:tabs>
                      <w:tab w:val="center" w:pos="4153"/>
                      <w:tab w:val="right" w:pos="8306"/>
                    </w:tabs>
                    <w:suppressAutoHyphens/>
                    <w:snapToGrid w:val="0"/>
                    <w:spacing w:line="240" w:lineRule="auto"/>
                    <w:jc w:val="center"/>
                    <w:rPr>
                      <w:rFonts w:hint="default"/>
                      <w:lang w:val="en-US" w:eastAsia="zh-CN"/>
                    </w:rPr>
                  </w:pPr>
                </w:p>
              </w:tc>
              <w:tc>
                <w:tcPr>
                  <w:tcW w:w="803" w:type="pct"/>
                  <w:noWrap w:val="0"/>
                  <w:vAlign w:val="center"/>
                </w:tcPr>
                <w:p>
                  <w:pPr>
                    <w:suppressAutoHyphens/>
                    <w:snapToGrid w:val="0"/>
                    <w:spacing w:line="240" w:lineRule="auto"/>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22" w:type="pct"/>
                  <w:noWrap w:val="0"/>
                  <w:vAlign w:val="center"/>
                </w:tcPr>
                <w:p>
                  <w:pPr>
                    <w:jc w:val="center"/>
                    <w:rPr>
                      <w:rFonts w:hint="eastAsia"/>
                      <w:lang w:val="en-US" w:eastAsia="zh-CN"/>
                    </w:rPr>
                  </w:pPr>
                  <w:r>
                    <w:rPr>
                      <w:rFonts w:hint="eastAsia"/>
                      <w:lang w:val="en-US" w:eastAsia="zh-CN"/>
                    </w:rPr>
                    <w:t>10月17日</w:t>
                  </w:r>
                  <w:r>
                    <w:rPr>
                      <w:rFonts w:hint="default"/>
                      <w:lang w:eastAsia="zh-CN"/>
                    </w:rPr>
                    <w:t>（</w:t>
                  </w:r>
                  <w:r>
                    <w:rPr>
                      <w:rFonts w:hint="eastAsia"/>
                      <w:lang w:eastAsia="zh-CN"/>
                    </w:rPr>
                    <w:t>夜</w:t>
                  </w:r>
                  <w:r>
                    <w:rPr>
                      <w:rFonts w:hint="default"/>
                      <w:lang w:eastAsia="zh-CN"/>
                    </w:rPr>
                    <w:t>间）</w:t>
                  </w:r>
                </w:p>
              </w:tc>
              <w:tc>
                <w:tcPr>
                  <w:tcW w:w="690" w:type="pct"/>
                  <w:vMerge w:val="continue"/>
                  <w:noWrap w:val="0"/>
                  <w:vAlign w:val="center"/>
                </w:tcPr>
                <w:p>
                  <w:pPr>
                    <w:jc w:val="center"/>
                    <w:rPr>
                      <w:rFonts w:hint="eastAsia"/>
                      <w:lang w:val="en-US" w:eastAsia="zh-CN"/>
                    </w:rPr>
                  </w:pPr>
                </w:p>
              </w:tc>
              <w:tc>
                <w:tcPr>
                  <w:tcW w:w="865" w:type="pct"/>
                  <w:vMerge w:val="continue"/>
                  <w:noWrap w:val="0"/>
                  <w:vAlign w:val="center"/>
                </w:tcPr>
                <w:p>
                  <w:pPr>
                    <w:jc w:val="center"/>
                    <w:rPr>
                      <w:rFonts w:hint="default"/>
                      <w:lang w:eastAsia="zh-CN"/>
                    </w:rPr>
                  </w:pPr>
                </w:p>
              </w:tc>
              <w:tc>
                <w:tcPr>
                  <w:tcW w:w="809" w:type="pct"/>
                  <w:noWrap w:val="0"/>
                  <w:vAlign w:val="center"/>
                </w:tcPr>
                <w:p>
                  <w:pPr>
                    <w:tabs>
                      <w:tab w:val="center" w:pos="4153"/>
                      <w:tab w:val="right" w:pos="8306"/>
                    </w:tabs>
                    <w:suppressAutoHyphens/>
                    <w:snapToGrid w:val="0"/>
                    <w:spacing w:line="240" w:lineRule="auto"/>
                    <w:jc w:val="center"/>
                    <w:rPr>
                      <w:rFonts w:hint="default"/>
                      <w:lang w:val="en-US" w:eastAsia="zh-CN"/>
                    </w:rPr>
                  </w:pPr>
                </w:p>
              </w:tc>
              <w:tc>
                <w:tcPr>
                  <w:tcW w:w="809" w:type="pct"/>
                  <w:noWrap w:val="0"/>
                  <w:vAlign w:val="center"/>
                </w:tcPr>
                <w:p>
                  <w:pPr>
                    <w:tabs>
                      <w:tab w:val="center" w:pos="4153"/>
                      <w:tab w:val="right" w:pos="8306"/>
                    </w:tabs>
                    <w:suppressAutoHyphens/>
                    <w:snapToGrid w:val="0"/>
                    <w:spacing w:line="240" w:lineRule="auto"/>
                    <w:jc w:val="center"/>
                    <w:rPr>
                      <w:rFonts w:hint="default"/>
                      <w:lang w:val="en-US" w:eastAsia="zh-CN"/>
                    </w:rPr>
                  </w:pPr>
                </w:p>
              </w:tc>
              <w:tc>
                <w:tcPr>
                  <w:tcW w:w="803" w:type="pct"/>
                  <w:noWrap w:val="0"/>
                  <w:vAlign w:val="center"/>
                </w:tcPr>
                <w:p>
                  <w:pPr>
                    <w:suppressAutoHyphens/>
                    <w:snapToGrid w:val="0"/>
                    <w:spacing w:line="240" w:lineRule="auto"/>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22" w:type="pct"/>
                  <w:noWrap w:val="0"/>
                  <w:vAlign w:val="center"/>
                </w:tcPr>
                <w:p>
                  <w:pPr>
                    <w:tabs>
                      <w:tab w:val="center" w:pos="4153"/>
                      <w:tab w:val="right" w:pos="8306"/>
                    </w:tabs>
                    <w:suppressAutoHyphens/>
                    <w:snapToGrid w:val="0"/>
                    <w:spacing w:line="240" w:lineRule="auto"/>
                    <w:jc w:val="center"/>
                    <w:rPr>
                      <w:rFonts w:hint="default"/>
                      <w:lang w:val="en-US" w:eastAsia="zh-CN"/>
                    </w:rPr>
                  </w:pPr>
                  <w:r>
                    <w:rPr>
                      <w:rFonts w:hint="default"/>
                      <w:lang w:val="en-US" w:eastAsia="zh-CN"/>
                    </w:rPr>
                    <w:t>备注</w:t>
                  </w:r>
                </w:p>
              </w:tc>
              <w:tc>
                <w:tcPr>
                  <w:tcW w:w="3977" w:type="pct"/>
                  <w:gridSpan w:val="5"/>
                  <w:noWrap w:val="0"/>
                  <w:vAlign w:val="center"/>
                </w:tcPr>
                <w:p>
                  <w:pPr>
                    <w:tabs>
                      <w:tab w:val="center" w:pos="4153"/>
                      <w:tab w:val="right" w:pos="8306"/>
                    </w:tabs>
                    <w:suppressAutoHyphens/>
                    <w:snapToGrid w:val="0"/>
                    <w:spacing w:line="240" w:lineRule="auto"/>
                    <w:jc w:val="both"/>
                    <w:rPr>
                      <w:rFonts w:hint="eastAsia"/>
                      <w:lang w:val="en-US" w:eastAsia="zh-CN"/>
                    </w:rPr>
                  </w:pPr>
                  <w:r>
                    <w:rPr>
                      <w:rFonts w:hint="default"/>
                      <w:lang w:val="en-US" w:eastAsia="zh-CN"/>
                    </w:rPr>
                    <w:t>校准仪器：</w:t>
                  </w:r>
                  <w:r>
                    <w:rPr>
                      <w:rFonts w:hint="default"/>
                    </w:rPr>
                    <w:t>AWA602</w:t>
                  </w:r>
                  <w:r>
                    <w:rPr>
                      <w:rFonts w:hint="eastAsia"/>
                      <w:lang w:val="en-US" w:eastAsia="zh-CN"/>
                    </w:rPr>
                    <w:t>2</w:t>
                  </w:r>
                  <w:r>
                    <w:rPr>
                      <w:rFonts w:hint="default"/>
                    </w:rPr>
                    <w:t>A</w:t>
                  </w:r>
                  <w:r>
                    <w:rPr>
                      <w:rFonts w:hint="eastAsia"/>
                      <w:lang w:val="en-US" w:eastAsia="zh-CN"/>
                    </w:rPr>
                    <w:t>（CTS-419）</w:t>
                  </w:r>
                  <w:r>
                    <w:rPr>
                      <w:rFonts w:hint="eastAsia"/>
                      <w:lang w:eastAsia="zh-CN"/>
                    </w:rPr>
                    <w:t>。</w:t>
                  </w:r>
                </w:p>
              </w:tc>
            </w:tr>
          </w:tbl>
          <w:p>
            <w:pPr>
              <w:pStyle w:val="6"/>
              <w:bidi w:val="0"/>
              <w:rPr>
                <w:rFonts w:hint="default"/>
                <w:lang w:val="en-US" w:eastAsia="zh-CN"/>
              </w:rPr>
            </w:pPr>
            <w:bookmarkStart w:id="65" w:name="_Toc31689"/>
            <w:r>
              <w:rPr>
                <w:rFonts w:hint="default"/>
                <w:lang w:val="en-US" w:eastAsia="zh-CN"/>
              </w:rPr>
              <w:t>5.</w:t>
            </w:r>
            <w:r>
              <w:rPr>
                <w:rFonts w:hint="eastAsia"/>
                <w:lang w:val="en-US" w:eastAsia="zh-CN"/>
              </w:rPr>
              <w:t>3</w:t>
            </w:r>
            <w:r>
              <w:rPr>
                <w:rFonts w:hint="default"/>
                <w:lang w:val="en-US" w:eastAsia="zh-CN"/>
              </w:rPr>
              <w:t>仪器校准</w:t>
            </w:r>
            <w:bookmarkEnd w:id="6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sz w:val="24"/>
                <w:szCs w:val="24"/>
                <w:lang w:val="en-US" w:eastAsia="zh-CN"/>
              </w:rPr>
            </w:pPr>
            <w:r>
              <w:rPr>
                <w:rFonts w:hint="default"/>
                <w:sz w:val="24"/>
                <w:szCs w:val="24"/>
                <w:lang w:eastAsia="zh-CN"/>
              </w:rPr>
              <w:t>此次</w:t>
            </w:r>
            <w:r>
              <w:rPr>
                <w:rFonts w:hint="eastAsia"/>
                <w:sz w:val="24"/>
                <w:szCs w:val="24"/>
                <w:lang w:val="en-US" w:eastAsia="zh-CN"/>
              </w:rPr>
              <w:t>验收检测仪器检定/校准情况</w:t>
            </w:r>
            <w:r>
              <w:rPr>
                <w:rFonts w:hint="default"/>
                <w:sz w:val="24"/>
                <w:szCs w:val="24"/>
                <w:lang w:eastAsia="zh-CN"/>
              </w:rPr>
              <w:t>见表</w:t>
            </w:r>
            <w:r>
              <w:rPr>
                <w:rFonts w:hint="default"/>
                <w:sz w:val="24"/>
                <w:szCs w:val="24"/>
                <w:lang w:val="en-US" w:eastAsia="zh-CN"/>
              </w:rPr>
              <w:t>5.</w:t>
            </w:r>
            <w:r>
              <w:rPr>
                <w:rFonts w:hint="eastAsia"/>
                <w:sz w:val="24"/>
                <w:szCs w:val="24"/>
                <w:lang w:val="en-US" w:eastAsia="zh-CN"/>
              </w:rPr>
              <w:t>3</w:t>
            </w:r>
            <w:r>
              <w:rPr>
                <w:rFonts w:hint="default"/>
                <w:sz w:val="24"/>
                <w:szCs w:val="24"/>
                <w:lang w:eastAsia="zh-CN"/>
              </w:rPr>
              <w:t>-</w:t>
            </w:r>
            <w:r>
              <w:rPr>
                <w:rFonts w:hint="eastAsia"/>
                <w:sz w:val="24"/>
                <w:szCs w:val="24"/>
                <w:lang w:val="en-US" w:eastAsia="zh-CN"/>
              </w:rPr>
              <w:t>1</w:t>
            </w:r>
            <w:r>
              <w:rPr>
                <w:rFonts w:hint="default"/>
                <w:sz w:val="24"/>
                <w:szCs w:val="24"/>
                <w:lang w:val="en-US" w:eastAsia="zh-CN"/>
              </w:rPr>
              <w:t>。</w:t>
            </w:r>
          </w:p>
          <w:p>
            <w:pPr>
              <w:pStyle w:val="9"/>
              <w:bidi w:val="0"/>
              <w:rPr>
                <w:rFonts w:hint="default"/>
                <w:lang w:val="en-US" w:eastAsia="zh-CN"/>
              </w:rPr>
            </w:pPr>
            <w:r>
              <w:rPr>
                <w:rFonts w:hint="default"/>
                <w:lang w:val="en-US" w:eastAsia="zh-CN"/>
              </w:rPr>
              <w:t>表5.</w:t>
            </w:r>
            <w:r>
              <w:rPr>
                <w:rFonts w:hint="eastAsia"/>
                <w:lang w:val="en-US" w:eastAsia="zh-CN"/>
              </w:rPr>
              <w:t>3</w:t>
            </w:r>
            <w:r>
              <w:rPr>
                <w:rFonts w:hint="default"/>
                <w:lang w:val="en-US" w:eastAsia="zh-CN"/>
              </w:rPr>
              <w:t>-</w:t>
            </w:r>
            <w:r>
              <w:rPr>
                <w:rFonts w:hint="eastAsia"/>
                <w:lang w:val="en-US" w:eastAsia="zh-CN"/>
              </w:rPr>
              <w:t xml:space="preserve">1  </w:t>
            </w:r>
            <w:r>
              <w:rPr>
                <w:rFonts w:hint="default"/>
                <w:lang w:val="en-US" w:eastAsia="zh-CN"/>
              </w:rPr>
              <w:t>仪器检定</w:t>
            </w:r>
            <w:r>
              <w:rPr>
                <w:rFonts w:hint="eastAsia"/>
                <w:lang w:val="en-US" w:eastAsia="zh-CN"/>
              </w:rPr>
              <w:t>/</w:t>
            </w:r>
            <w:r>
              <w:rPr>
                <w:rFonts w:hint="default"/>
                <w:lang w:val="en-US" w:eastAsia="zh-CN"/>
              </w:rPr>
              <w:t>校准一览表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3793"/>
              <w:gridCol w:w="1856"/>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7" w:type="pct"/>
                  <w:noWrap w:val="0"/>
                  <w:vAlign w:val="center"/>
                </w:tcPr>
                <w:p>
                  <w:pPr>
                    <w:jc w:val="center"/>
                    <w:rPr>
                      <w:rFonts w:hint="default"/>
                      <w:lang w:val="en-US" w:eastAsia="zh-CN"/>
                    </w:rPr>
                  </w:pPr>
                  <w:r>
                    <w:rPr>
                      <w:rFonts w:hint="default"/>
                      <w:lang w:val="en-US" w:eastAsia="zh-CN"/>
                    </w:rPr>
                    <w:t>管理编号</w:t>
                  </w:r>
                </w:p>
              </w:tc>
              <w:tc>
                <w:tcPr>
                  <w:tcW w:w="2093" w:type="pct"/>
                  <w:noWrap w:val="0"/>
                  <w:vAlign w:val="center"/>
                </w:tcPr>
                <w:p>
                  <w:pPr>
                    <w:jc w:val="center"/>
                    <w:rPr>
                      <w:rFonts w:hint="default"/>
                      <w:lang w:val="en-US" w:eastAsia="zh-CN"/>
                    </w:rPr>
                  </w:pPr>
                  <w:r>
                    <w:rPr>
                      <w:rFonts w:hint="default"/>
                      <w:lang w:val="en-US" w:eastAsia="zh-CN"/>
                    </w:rPr>
                    <w:t>检测仪器</w:t>
                  </w:r>
                </w:p>
              </w:tc>
              <w:tc>
                <w:tcPr>
                  <w:tcW w:w="1024" w:type="pct"/>
                  <w:noWrap w:val="0"/>
                  <w:vAlign w:val="center"/>
                </w:tcPr>
                <w:p>
                  <w:pPr>
                    <w:jc w:val="center"/>
                    <w:rPr>
                      <w:rFonts w:hint="default"/>
                      <w:lang w:val="en-US" w:eastAsia="zh-CN"/>
                    </w:rPr>
                  </w:pPr>
                  <w:r>
                    <w:rPr>
                      <w:rFonts w:hint="default"/>
                      <w:lang w:val="en-US" w:eastAsia="zh-CN"/>
                    </w:rPr>
                    <w:t>检定/校准日期</w:t>
                  </w:r>
                </w:p>
              </w:tc>
              <w:tc>
                <w:tcPr>
                  <w:tcW w:w="1024" w:type="pct"/>
                  <w:noWrap w:val="0"/>
                  <w:vAlign w:val="center"/>
                </w:tcPr>
                <w:p>
                  <w:pPr>
                    <w:jc w:val="center"/>
                    <w:rPr>
                      <w:rFonts w:hint="default"/>
                      <w:lang w:val="en-US" w:eastAsia="zh-CN"/>
                    </w:rPr>
                  </w:pPr>
                  <w:r>
                    <w:rPr>
                      <w:rFonts w:hint="default"/>
                      <w:lang w:val="en-US" w:eastAsia="zh-CN"/>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7" w:type="pct"/>
                  <w:noWrap w:val="0"/>
                  <w:vAlign w:val="center"/>
                </w:tcPr>
                <w:p>
                  <w:pPr>
                    <w:jc w:val="center"/>
                    <w:rPr>
                      <w:rFonts w:hint="default"/>
                      <w:lang w:val="en-US" w:eastAsia="zh-CN"/>
                    </w:rPr>
                  </w:pPr>
                  <w:r>
                    <w:rPr>
                      <w:rFonts w:hint="eastAsia"/>
                      <w:lang w:val="en-US" w:eastAsia="zh-CN"/>
                    </w:rPr>
                    <w:t>CTS-451</w:t>
                  </w:r>
                </w:p>
              </w:tc>
              <w:tc>
                <w:tcPr>
                  <w:tcW w:w="2093" w:type="pct"/>
                  <w:noWrap w:val="0"/>
                  <w:vAlign w:val="center"/>
                </w:tcPr>
                <w:p>
                  <w:pPr>
                    <w:jc w:val="center"/>
                    <w:rPr>
                      <w:rFonts w:hint="default"/>
                      <w:lang w:val="en-US" w:eastAsia="zh-CN"/>
                    </w:rPr>
                  </w:pPr>
                  <w:r>
                    <w:rPr>
                      <w:rFonts w:hint="default"/>
                      <w:lang w:val="en-US" w:eastAsia="zh-CN"/>
                    </w:rPr>
                    <w:t>自动烟尘/气测试仪崂应3012H-C型</w:t>
                  </w:r>
                </w:p>
              </w:tc>
              <w:tc>
                <w:tcPr>
                  <w:tcW w:w="1024" w:type="pct"/>
                  <w:noWrap w:val="0"/>
                  <w:vAlign w:val="center"/>
                </w:tcPr>
                <w:p>
                  <w:pPr>
                    <w:jc w:val="center"/>
                    <w:rPr>
                      <w:rFonts w:hint="default"/>
                      <w:lang w:val="en-US" w:eastAsia="zh-CN"/>
                    </w:rPr>
                  </w:pPr>
                  <w:r>
                    <w:rPr>
                      <w:rFonts w:hint="default"/>
                      <w:lang w:val="en-US" w:eastAsia="zh-CN"/>
                    </w:rPr>
                    <w:t>2025.04.06</w:t>
                  </w:r>
                </w:p>
              </w:tc>
              <w:tc>
                <w:tcPr>
                  <w:tcW w:w="1024" w:type="pct"/>
                  <w:noWrap w:val="0"/>
                  <w:vAlign w:val="center"/>
                </w:tcPr>
                <w:p>
                  <w:pPr>
                    <w:jc w:val="center"/>
                    <w:rPr>
                      <w:rFonts w:hint="default"/>
                      <w:lang w:val="en-US" w:eastAsia="zh-CN"/>
                    </w:rPr>
                  </w:pPr>
                  <w:r>
                    <w:rPr>
                      <w:rFonts w:hint="default"/>
                      <w:lang w:val="en-US" w:eastAsia="zh-CN"/>
                    </w:rPr>
                    <w:t>2026.04.05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7" w:type="pct"/>
                  <w:noWrap w:val="0"/>
                  <w:vAlign w:val="center"/>
                </w:tcPr>
                <w:p>
                  <w:pPr>
                    <w:jc w:val="center"/>
                    <w:rPr>
                      <w:rFonts w:hint="default"/>
                      <w:lang w:val="en-US" w:eastAsia="zh-CN"/>
                    </w:rPr>
                  </w:pPr>
                  <w:r>
                    <w:rPr>
                      <w:rFonts w:hint="default"/>
                      <w:lang w:val="en-US" w:eastAsia="zh-CN"/>
                    </w:rPr>
                    <w:t>CTS-</w:t>
                  </w:r>
                  <w:r>
                    <w:rPr>
                      <w:rFonts w:hint="eastAsia"/>
                      <w:lang w:val="en-US" w:eastAsia="zh-CN"/>
                    </w:rPr>
                    <w:t>452</w:t>
                  </w:r>
                </w:p>
              </w:tc>
              <w:tc>
                <w:tcPr>
                  <w:tcW w:w="2093" w:type="pct"/>
                  <w:vMerge w:val="restart"/>
                  <w:noWrap w:val="0"/>
                  <w:vAlign w:val="center"/>
                </w:tcPr>
                <w:p>
                  <w:pPr>
                    <w:jc w:val="center"/>
                    <w:rPr>
                      <w:rFonts w:hint="default"/>
                      <w:lang w:val="en-US" w:eastAsia="zh-CN"/>
                    </w:rPr>
                  </w:pPr>
                  <w:r>
                    <w:rPr>
                      <w:rFonts w:hint="default"/>
                      <w:lang w:val="en-US" w:eastAsia="zh-CN"/>
                    </w:rPr>
                    <w:t>环境空气综合采样器</w:t>
                  </w:r>
                </w:p>
                <w:p>
                  <w:pPr>
                    <w:jc w:val="center"/>
                    <w:rPr>
                      <w:rFonts w:hint="default"/>
                      <w:lang w:val="en-US" w:eastAsia="zh-CN"/>
                    </w:rPr>
                  </w:pPr>
                  <w:r>
                    <w:rPr>
                      <w:rFonts w:hint="default"/>
                      <w:lang w:val="en-US" w:eastAsia="zh-CN"/>
                    </w:rPr>
                    <w:t>崂应2050型</w:t>
                  </w:r>
                </w:p>
              </w:tc>
              <w:tc>
                <w:tcPr>
                  <w:tcW w:w="1024" w:type="pct"/>
                  <w:noWrap w:val="0"/>
                  <w:vAlign w:val="center"/>
                </w:tcPr>
                <w:p>
                  <w:pPr>
                    <w:jc w:val="center"/>
                    <w:rPr>
                      <w:rFonts w:hint="default"/>
                      <w:lang w:val="en-US" w:eastAsia="zh-CN"/>
                    </w:rPr>
                  </w:pPr>
                  <w:r>
                    <w:rPr>
                      <w:rFonts w:hint="default"/>
                      <w:lang w:val="en-US" w:eastAsia="zh-CN"/>
                    </w:rPr>
                    <w:t>2025.04.09</w:t>
                  </w:r>
                </w:p>
              </w:tc>
              <w:tc>
                <w:tcPr>
                  <w:tcW w:w="1024" w:type="pct"/>
                  <w:noWrap w:val="0"/>
                  <w:vAlign w:val="center"/>
                </w:tcPr>
                <w:p>
                  <w:pPr>
                    <w:jc w:val="center"/>
                    <w:rPr>
                      <w:rFonts w:hint="default"/>
                      <w:lang w:val="en-US" w:eastAsia="zh-CN"/>
                    </w:rPr>
                  </w:pPr>
                  <w:r>
                    <w:rPr>
                      <w:rFonts w:hint="default"/>
                      <w:lang w:val="en-US" w:eastAsia="zh-CN"/>
                    </w:rPr>
                    <w:t>2026.04.08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7" w:type="pct"/>
                  <w:noWrap w:val="0"/>
                  <w:vAlign w:val="center"/>
                </w:tcPr>
                <w:p>
                  <w:pPr>
                    <w:jc w:val="center"/>
                    <w:rPr>
                      <w:rFonts w:hint="default"/>
                      <w:lang w:val="en-US" w:eastAsia="zh-CN"/>
                    </w:rPr>
                  </w:pPr>
                  <w:r>
                    <w:rPr>
                      <w:rFonts w:hint="default"/>
                      <w:lang w:val="en-US" w:eastAsia="zh-CN"/>
                    </w:rPr>
                    <w:t>CTS-</w:t>
                  </w:r>
                  <w:r>
                    <w:rPr>
                      <w:rFonts w:hint="eastAsia"/>
                      <w:lang w:val="en-US" w:eastAsia="zh-CN"/>
                    </w:rPr>
                    <w:t>483</w:t>
                  </w:r>
                </w:p>
              </w:tc>
              <w:tc>
                <w:tcPr>
                  <w:tcW w:w="2093" w:type="pct"/>
                  <w:vMerge w:val="continue"/>
                  <w:noWrap w:val="0"/>
                  <w:vAlign w:val="center"/>
                </w:tcPr>
                <w:p>
                  <w:pPr>
                    <w:jc w:val="center"/>
                    <w:rPr>
                      <w:rFonts w:hint="default"/>
                      <w:lang w:val="en-US" w:eastAsia="zh-CN"/>
                    </w:rPr>
                  </w:pPr>
                </w:p>
              </w:tc>
              <w:tc>
                <w:tcPr>
                  <w:tcW w:w="1024" w:type="pct"/>
                  <w:noWrap w:val="0"/>
                  <w:vAlign w:val="center"/>
                </w:tcPr>
                <w:p>
                  <w:pPr>
                    <w:jc w:val="center"/>
                    <w:rPr>
                      <w:rFonts w:hint="eastAsia"/>
                      <w:lang w:val="en-US" w:eastAsia="zh-CN"/>
                    </w:rPr>
                  </w:pPr>
                  <w:r>
                    <w:rPr>
                      <w:rFonts w:hint="default"/>
                      <w:lang w:val="en-US" w:eastAsia="zh-CN"/>
                    </w:rPr>
                    <w:t>2025.08.26</w:t>
                  </w:r>
                </w:p>
              </w:tc>
              <w:tc>
                <w:tcPr>
                  <w:tcW w:w="1024" w:type="pct"/>
                  <w:noWrap w:val="0"/>
                  <w:vAlign w:val="center"/>
                </w:tcPr>
                <w:p>
                  <w:pPr>
                    <w:jc w:val="center"/>
                    <w:rPr>
                      <w:rFonts w:hint="eastAsia"/>
                      <w:lang w:val="en-US" w:eastAsia="zh-CN"/>
                    </w:rPr>
                  </w:pPr>
                  <w:r>
                    <w:rPr>
                      <w:rFonts w:hint="default"/>
                      <w:lang w:val="en-US" w:eastAsia="zh-CN"/>
                    </w:rPr>
                    <w:t>2026.08.25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7" w:type="pct"/>
                  <w:noWrap w:val="0"/>
                  <w:vAlign w:val="center"/>
                </w:tcPr>
                <w:p>
                  <w:pPr>
                    <w:jc w:val="center"/>
                    <w:rPr>
                      <w:rFonts w:hint="default"/>
                      <w:lang w:val="en-US" w:eastAsia="zh-CN"/>
                    </w:rPr>
                  </w:pPr>
                  <w:r>
                    <w:rPr>
                      <w:rFonts w:hint="default"/>
                      <w:lang w:val="en-US" w:eastAsia="zh-CN"/>
                    </w:rPr>
                    <w:t>CTS-</w:t>
                  </w:r>
                  <w:r>
                    <w:rPr>
                      <w:rFonts w:hint="eastAsia"/>
                      <w:lang w:val="en-US" w:eastAsia="zh-CN"/>
                    </w:rPr>
                    <w:t>484</w:t>
                  </w:r>
                </w:p>
              </w:tc>
              <w:tc>
                <w:tcPr>
                  <w:tcW w:w="2093" w:type="pct"/>
                  <w:vMerge w:val="continue"/>
                  <w:noWrap w:val="0"/>
                  <w:vAlign w:val="center"/>
                </w:tcPr>
                <w:p>
                  <w:pPr>
                    <w:jc w:val="center"/>
                    <w:rPr>
                      <w:rFonts w:hint="default"/>
                      <w:lang w:val="en-US" w:eastAsia="zh-CN"/>
                    </w:rPr>
                  </w:pPr>
                </w:p>
              </w:tc>
              <w:tc>
                <w:tcPr>
                  <w:tcW w:w="1024" w:type="pct"/>
                  <w:noWrap w:val="0"/>
                  <w:vAlign w:val="center"/>
                </w:tcPr>
                <w:p>
                  <w:pPr>
                    <w:jc w:val="center"/>
                    <w:rPr>
                      <w:rFonts w:hint="eastAsia"/>
                      <w:lang w:val="en-US" w:eastAsia="zh-CN"/>
                    </w:rPr>
                  </w:pPr>
                  <w:r>
                    <w:rPr>
                      <w:rFonts w:hint="default"/>
                      <w:lang w:val="en-US" w:eastAsia="zh-CN"/>
                    </w:rPr>
                    <w:t>2025.08.26</w:t>
                  </w:r>
                </w:p>
              </w:tc>
              <w:tc>
                <w:tcPr>
                  <w:tcW w:w="1024" w:type="pct"/>
                  <w:noWrap w:val="0"/>
                  <w:vAlign w:val="center"/>
                </w:tcPr>
                <w:p>
                  <w:pPr>
                    <w:jc w:val="center"/>
                    <w:rPr>
                      <w:rFonts w:hint="eastAsia"/>
                      <w:lang w:val="en-US" w:eastAsia="zh-CN"/>
                    </w:rPr>
                  </w:pPr>
                  <w:r>
                    <w:rPr>
                      <w:rFonts w:hint="default"/>
                      <w:lang w:val="en-US" w:eastAsia="zh-CN"/>
                    </w:rPr>
                    <w:t>2026.08.25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7" w:type="pct"/>
                  <w:noWrap w:val="0"/>
                  <w:vAlign w:val="center"/>
                </w:tcPr>
                <w:p>
                  <w:pPr>
                    <w:jc w:val="center"/>
                    <w:rPr>
                      <w:rFonts w:hint="default"/>
                      <w:lang w:val="en-US" w:eastAsia="zh-CN"/>
                    </w:rPr>
                  </w:pPr>
                  <w:r>
                    <w:rPr>
                      <w:rFonts w:hint="default"/>
                      <w:lang w:val="en-US" w:eastAsia="zh-CN"/>
                    </w:rPr>
                    <w:t>CTS-</w:t>
                  </w:r>
                  <w:r>
                    <w:rPr>
                      <w:rFonts w:hint="eastAsia"/>
                      <w:lang w:val="en-US" w:eastAsia="zh-CN"/>
                    </w:rPr>
                    <w:t>487</w:t>
                  </w:r>
                </w:p>
              </w:tc>
              <w:tc>
                <w:tcPr>
                  <w:tcW w:w="2093" w:type="pct"/>
                  <w:vMerge w:val="continue"/>
                  <w:noWrap w:val="0"/>
                  <w:vAlign w:val="center"/>
                </w:tcPr>
                <w:p>
                  <w:pPr>
                    <w:jc w:val="center"/>
                    <w:rPr>
                      <w:rFonts w:hint="default"/>
                      <w:lang w:val="en-US" w:eastAsia="zh-CN"/>
                    </w:rPr>
                  </w:pPr>
                </w:p>
              </w:tc>
              <w:tc>
                <w:tcPr>
                  <w:tcW w:w="1024" w:type="pct"/>
                  <w:noWrap w:val="0"/>
                  <w:vAlign w:val="center"/>
                </w:tcPr>
                <w:p>
                  <w:pPr>
                    <w:jc w:val="center"/>
                    <w:rPr>
                      <w:rFonts w:hint="eastAsia"/>
                      <w:lang w:val="en-US" w:eastAsia="zh-CN"/>
                    </w:rPr>
                  </w:pPr>
                  <w:r>
                    <w:rPr>
                      <w:rFonts w:hint="default"/>
                      <w:lang w:val="en-US" w:eastAsia="zh-CN"/>
                    </w:rPr>
                    <w:t>2025.08.26</w:t>
                  </w:r>
                </w:p>
              </w:tc>
              <w:tc>
                <w:tcPr>
                  <w:tcW w:w="1024" w:type="pct"/>
                  <w:noWrap w:val="0"/>
                  <w:vAlign w:val="center"/>
                </w:tcPr>
                <w:p>
                  <w:pPr>
                    <w:jc w:val="center"/>
                    <w:rPr>
                      <w:rFonts w:hint="eastAsia"/>
                      <w:lang w:val="en-US" w:eastAsia="zh-CN"/>
                    </w:rPr>
                  </w:pPr>
                  <w:r>
                    <w:rPr>
                      <w:rFonts w:hint="default"/>
                      <w:lang w:val="en-US" w:eastAsia="zh-CN"/>
                    </w:rPr>
                    <w:t>2026.08.25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default"/>
                      <w:lang w:val="en-US" w:eastAsia="zh-CN"/>
                    </w:rPr>
                  </w:pPr>
                  <w:r>
                    <w:rPr>
                      <w:rFonts w:hint="default"/>
                      <w:lang w:val="en-US" w:eastAsia="zh-CN"/>
                    </w:rPr>
                    <w:br w:type="page"/>
                  </w:r>
                  <w:r>
                    <w:rPr>
                      <w:rFonts w:hint="default"/>
                      <w:lang w:val="en-US" w:eastAsia="zh-CN"/>
                    </w:rPr>
                    <w:t>CTS-238</w:t>
                  </w:r>
                </w:p>
              </w:tc>
              <w:tc>
                <w:tcPr>
                  <w:tcW w:w="2093" w:type="pct"/>
                  <w:noWrap w:val="0"/>
                  <w:vAlign w:val="center"/>
                </w:tcPr>
                <w:p>
                  <w:pPr>
                    <w:jc w:val="center"/>
                    <w:rPr>
                      <w:rFonts w:hint="default"/>
                      <w:lang w:val="en-US" w:eastAsia="zh-CN"/>
                    </w:rPr>
                  </w:pPr>
                  <w:r>
                    <w:rPr>
                      <w:rFonts w:hint="default"/>
                      <w:lang w:val="en-US" w:eastAsia="zh-CN"/>
                    </w:rPr>
                    <w:t>智能高精度综合标准仪崂应8040型</w:t>
                  </w:r>
                </w:p>
              </w:tc>
              <w:tc>
                <w:tcPr>
                  <w:tcW w:w="1024" w:type="pct"/>
                  <w:noWrap w:val="0"/>
                  <w:vAlign w:val="center"/>
                </w:tcPr>
                <w:p>
                  <w:pPr>
                    <w:jc w:val="center"/>
                    <w:rPr>
                      <w:rFonts w:hint="default"/>
                      <w:lang w:val="en-US" w:eastAsia="zh-CN"/>
                    </w:rPr>
                  </w:pPr>
                  <w:r>
                    <w:rPr>
                      <w:rFonts w:hint="default"/>
                      <w:lang w:val="en-US" w:eastAsia="zh-CN"/>
                    </w:rPr>
                    <w:t>2024.12.09</w:t>
                  </w:r>
                </w:p>
              </w:tc>
              <w:tc>
                <w:tcPr>
                  <w:tcW w:w="1024" w:type="pct"/>
                  <w:noWrap w:val="0"/>
                  <w:vAlign w:val="center"/>
                </w:tcPr>
                <w:p>
                  <w:pPr>
                    <w:jc w:val="center"/>
                    <w:rPr>
                      <w:rFonts w:hint="default"/>
                      <w:lang w:val="en-US" w:eastAsia="zh-CN"/>
                    </w:rPr>
                  </w:pPr>
                  <w:r>
                    <w:rPr>
                      <w:rFonts w:hint="default"/>
                      <w:lang w:val="en-US" w:eastAsia="zh-CN"/>
                    </w:rPr>
                    <w:t>2025.12.08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default"/>
                      <w:lang w:val="en-US" w:eastAsia="zh-CN"/>
                    </w:rPr>
                  </w:pPr>
                  <w:r>
                    <w:rPr>
                      <w:rFonts w:hint="eastAsia"/>
                      <w:lang w:val="en-US" w:eastAsia="zh-CN"/>
                    </w:rPr>
                    <w:t>CTS-438</w:t>
                  </w:r>
                </w:p>
              </w:tc>
              <w:tc>
                <w:tcPr>
                  <w:tcW w:w="2093" w:type="pct"/>
                  <w:noWrap w:val="0"/>
                  <w:vAlign w:val="center"/>
                </w:tcPr>
                <w:p>
                  <w:pPr>
                    <w:jc w:val="center"/>
                    <w:rPr>
                      <w:rFonts w:hint="default"/>
                      <w:lang w:val="en-US" w:eastAsia="zh-CN"/>
                    </w:rPr>
                  </w:pPr>
                  <w:r>
                    <w:rPr>
                      <w:rFonts w:hint="default"/>
                      <w:lang w:val="en-US" w:eastAsia="zh-CN"/>
                    </w:rPr>
                    <w:t>便携式pH/mV计Bante220</w:t>
                  </w:r>
                </w:p>
              </w:tc>
              <w:tc>
                <w:tcPr>
                  <w:tcW w:w="1024" w:type="pct"/>
                  <w:noWrap w:val="0"/>
                  <w:vAlign w:val="center"/>
                </w:tcPr>
                <w:p>
                  <w:pPr>
                    <w:jc w:val="center"/>
                    <w:rPr>
                      <w:rFonts w:hint="eastAsia"/>
                      <w:lang w:val="en-US" w:eastAsia="zh-CN"/>
                    </w:rPr>
                  </w:pPr>
                  <w:r>
                    <w:rPr>
                      <w:rFonts w:hint="default"/>
                      <w:lang w:val="en-US" w:eastAsia="zh-CN"/>
                    </w:rPr>
                    <w:t>2025.03.17</w:t>
                  </w:r>
                </w:p>
              </w:tc>
              <w:tc>
                <w:tcPr>
                  <w:tcW w:w="1024" w:type="pct"/>
                  <w:noWrap w:val="0"/>
                  <w:vAlign w:val="center"/>
                </w:tcPr>
                <w:p>
                  <w:pPr>
                    <w:jc w:val="center"/>
                    <w:rPr>
                      <w:rFonts w:hint="eastAsia"/>
                      <w:lang w:val="en-US" w:eastAsia="zh-CN"/>
                    </w:rPr>
                  </w:pPr>
                  <w:r>
                    <w:rPr>
                      <w:rFonts w:hint="default"/>
                      <w:lang w:val="en-US" w:eastAsia="zh-CN"/>
                    </w:rPr>
                    <w:t>2026.03.16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default"/>
                      <w:lang w:val="en-US" w:eastAsia="zh-CN"/>
                    </w:rPr>
                  </w:pPr>
                  <w:r>
                    <w:rPr>
                      <w:rFonts w:hint="eastAsia"/>
                      <w:lang w:val="en-US" w:eastAsia="zh-CN"/>
                    </w:rPr>
                    <w:t>CTS-415</w:t>
                  </w:r>
                </w:p>
              </w:tc>
              <w:tc>
                <w:tcPr>
                  <w:tcW w:w="2093" w:type="pct"/>
                  <w:noWrap w:val="0"/>
                  <w:vAlign w:val="center"/>
                </w:tcPr>
                <w:p>
                  <w:pPr>
                    <w:jc w:val="center"/>
                    <w:rPr>
                      <w:rFonts w:hint="eastAsia"/>
                      <w:lang w:val="en-US" w:eastAsia="zh-CN"/>
                    </w:rPr>
                  </w:pPr>
                  <w:r>
                    <w:rPr>
                      <w:rFonts w:hint="eastAsia"/>
                      <w:lang w:val="en-US" w:eastAsia="zh-CN"/>
                    </w:rPr>
                    <w:t>多功能声级计AWA5688</w:t>
                  </w:r>
                </w:p>
              </w:tc>
              <w:tc>
                <w:tcPr>
                  <w:tcW w:w="1024" w:type="pct"/>
                  <w:noWrap w:val="0"/>
                  <w:vAlign w:val="center"/>
                </w:tcPr>
                <w:p>
                  <w:pPr>
                    <w:jc w:val="center"/>
                    <w:rPr>
                      <w:rFonts w:hint="eastAsia"/>
                      <w:lang w:val="en-US" w:eastAsia="zh-CN"/>
                    </w:rPr>
                  </w:pPr>
                  <w:r>
                    <w:rPr>
                      <w:rFonts w:hint="default"/>
                      <w:lang w:val="en-US" w:eastAsia="zh-CN"/>
                    </w:rPr>
                    <w:t>2024.11.20</w:t>
                  </w:r>
                </w:p>
              </w:tc>
              <w:tc>
                <w:tcPr>
                  <w:tcW w:w="1024" w:type="pct"/>
                  <w:noWrap w:val="0"/>
                  <w:vAlign w:val="center"/>
                </w:tcPr>
                <w:p>
                  <w:pPr>
                    <w:jc w:val="center"/>
                    <w:rPr>
                      <w:rFonts w:hint="eastAsia"/>
                      <w:lang w:val="en-US" w:eastAsia="zh-CN"/>
                    </w:rPr>
                  </w:pPr>
                  <w:r>
                    <w:rPr>
                      <w:rFonts w:hint="default"/>
                      <w:lang w:val="en-US" w:eastAsia="zh-CN"/>
                    </w:rPr>
                    <w:t>2025.11.19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eastAsia"/>
                      <w:lang w:val="en-US" w:eastAsia="zh-CN"/>
                    </w:rPr>
                  </w:pPr>
                  <w:r>
                    <w:rPr>
                      <w:rFonts w:hint="default"/>
                      <w:lang w:val="en-US" w:eastAsia="zh-CN"/>
                    </w:rPr>
                    <w:t>CTS-419</w:t>
                  </w:r>
                </w:p>
              </w:tc>
              <w:tc>
                <w:tcPr>
                  <w:tcW w:w="2093" w:type="pct"/>
                  <w:noWrap w:val="0"/>
                  <w:vAlign w:val="center"/>
                </w:tcPr>
                <w:p>
                  <w:pPr>
                    <w:jc w:val="center"/>
                    <w:rPr>
                      <w:rFonts w:hint="default"/>
                      <w:lang w:val="en-US" w:eastAsia="zh-CN"/>
                    </w:rPr>
                  </w:pPr>
                  <w:r>
                    <w:rPr>
                      <w:rFonts w:hint="default"/>
                      <w:lang w:val="en-US" w:eastAsia="zh-CN"/>
                    </w:rPr>
                    <w:t>声校准器AWA6022A</w:t>
                  </w:r>
                </w:p>
              </w:tc>
              <w:tc>
                <w:tcPr>
                  <w:tcW w:w="1024" w:type="pct"/>
                  <w:noWrap w:val="0"/>
                  <w:vAlign w:val="center"/>
                </w:tcPr>
                <w:p>
                  <w:pPr>
                    <w:jc w:val="center"/>
                    <w:rPr>
                      <w:rFonts w:hint="eastAsia"/>
                      <w:lang w:val="en-US" w:eastAsia="zh-CN"/>
                    </w:rPr>
                  </w:pPr>
                  <w:r>
                    <w:rPr>
                      <w:rFonts w:hint="default"/>
                      <w:lang w:val="en-US" w:eastAsia="zh-CN"/>
                    </w:rPr>
                    <w:t>2025.08.29</w:t>
                  </w:r>
                </w:p>
              </w:tc>
              <w:tc>
                <w:tcPr>
                  <w:tcW w:w="1024" w:type="pct"/>
                  <w:noWrap w:val="0"/>
                  <w:vAlign w:val="center"/>
                </w:tcPr>
                <w:p>
                  <w:pPr>
                    <w:jc w:val="center"/>
                    <w:rPr>
                      <w:rFonts w:hint="eastAsia"/>
                      <w:lang w:val="en-US" w:eastAsia="zh-CN"/>
                    </w:rPr>
                  </w:pPr>
                  <w:r>
                    <w:rPr>
                      <w:rFonts w:hint="default"/>
                      <w:lang w:val="en-US" w:eastAsia="zh-CN"/>
                    </w:rPr>
                    <w:t>2026.08.28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default"/>
                      <w:lang w:val="en-US" w:eastAsia="zh-CN"/>
                    </w:rPr>
                  </w:pPr>
                  <w:r>
                    <w:rPr>
                      <w:rFonts w:hint="default"/>
                      <w:lang w:val="en-US" w:eastAsia="zh-CN"/>
                    </w:rPr>
                    <w:t>CTS-43</w:t>
                  </w:r>
                  <w:r>
                    <w:rPr>
                      <w:rFonts w:hint="eastAsia"/>
                      <w:lang w:val="en-US" w:eastAsia="zh-CN"/>
                    </w:rPr>
                    <w:t>6</w:t>
                  </w:r>
                </w:p>
              </w:tc>
              <w:tc>
                <w:tcPr>
                  <w:tcW w:w="2093" w:type="pct"/>
                  <w:noWrap w:val="0"/>
                  <w:vAlign w:val="center"/>
                </w:tcPr>
                <w:p>
                  <w:pPr>
                    <w:jc w:val="center"/>
                    <w:rPr>
                      <w:rFonts w:hint="default"/>
                      <w:lang w:val="en-US" w:eastAsia="zh-CN"/>
                    </w:rPr>
                  </w:pPr>
                  <w:r>
                    <w:rPr>
                      <w:rFonts w:hint="default"/>
                      <w:lang w:val="en-US" w:eastAsia="zh-CN"/>
                    </w:rPr>
                    <w:t>电子分析天平EP85A</w:t>
                  </w:r>
                </w:p>
              </w:tc>
              <w:tc>
                <w:tcPr>
                  <w:tcW w:w="1024" w:type="pct"/>
                  <w:noWrap w:val="0"/>
                  <w:vAlign w:val="center"/>
                </w:tcPr>
                <w:p>
                  <w:pPr>
                    <w:jc w:val="center"/>
                    <w:rPr>
                      <w:rFonts w:hint="default"/>
                      <w:lang w:val="en-US" w:eastAsia="zh-CN"/>
                    </w:rPr>
                  </w:pPr>
                  <w:r>
                    <w:rPr>
                      <w:rFonts w:hint="default"/>
                      <w:lang w:val="en-US" w:eastAsia="zh-CN"/>
                    </w:rPr>
                    <w:t>2025.05.21</w:t>
                  </w:r>
                </w:p>
              </w:tc>
              <w:tc>
                <w:tcPr>
                  <w:tcW w:w="1024" w:type="pct"/>
                  <w:noWrap w:val="0"/>
                  <w:vAlign w:val="center"/>
                </w:tcPr>
                <w:p>
                  <w:pPr>
                    <w:jc w:val="center"/>
                    <w:rPr>
                      <w:rFonts w:hint="default"/>
                      <w:lang w:val="en-US" w:eastAsia="zh-CN"/>
                    </w:rPr>
                  </w:pPr>
                  <w:r>
                    <w:rPr>
                      <w:rFonts w:hint="default"/>
                      <w:lang w:val="en-US" w:eastAsia="zh-CN"/>
                    </w:rPr>
                    <w:t>2026.05.20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default"/>
                      <w:lang w:val="en-US" w:eastAsia="zh-CN"/>
                    </w:rPr>
                  </w:pPr>
                  <w:r>
                    <w:rPr>
                      <w:rFonts w:hint="default"/>
                      <w:lang w:val="en-US" w:eastAsia="zh-CN"/>
                    </w:rPr>
                    <w:br w:type="page"/>
                  </w:r>
                  <w:r>
                    <w:rPr>
                      <w:rFonts w:hint="default"/>
                      <w:lang w:val="en-US" w:eastAsia="zh-CN"/>
                    </w:rPr>
                    <w:t>CTS-193</w:t>
                  </w:r>
                </w:p>
              </w:tc>
              <w:tc>
                <w:tcPr>
                  <w:tcW w:w="2093" w:type="pct"/>
                  <w:noWrap w:val="0"/>
                  <w:vAlign w:val="center"/>
                </w:tcPr>
                <w:p>
                  <w:pPr>
                    <w:jc w:val="center"/>
                    <w:rPr>
                      <w:rFonts w:hint="eastAsia"/>
                      <w:lang w:val="en-US" w:eastAsia="zh-CN"/>
                    </w:rPr>
                  </w:pPr>
                  <w:r>
                    <w:rPr>
                      <w:rFonts w:hint="default"/>
                      <w:lang w:val="en-US" w:eastAsia="zh-CN"/>
                    </w:rPr>
                    <w:t>恒温恒湿称重系统AMS-CZXT-225A</w:t>
                  </w:r>
                </w:p>
              </w:tc>
              <w:tc>
                <w:tcPr>
                  <w:tcW w:w="1024" w:type="pct"/>
                  <w:noWrap w:val="0"/>
                  <w:vAlign w:val="center"/>
                </w:tcPr>
                <w:p>
                  <w:pPr>
                    <w:jc w:val="center"/>
                    <w:rPr>
                      <w:rFonts w:hint="default"/>
                      <w:lang w:val="en-US" w:eastAsia="zh-CN"/>
                    </w:rPr>
                  </w:pPr>
                  <w:r>
                    <w:rPr>
                      <w:rFonts w:hint="default"/>
                      <w:lang w:val="en-US" w:eastAsia="zh-CN"/>
                    </w:rPr>
                    <w:t>2025.05.21</w:t>
                  </w:r>
                </w:p>
              </w:tc>
              <w:tc>
                <w:tcPr>
                  <w:tcW w:w="1024" w:type="pct"/>
                  <w:noWrap w:val="0"/>
                  <w:vAlign w:val="center"/>
                </w:tcPr>
                <w:p>
                  <w:pPr>
                    <w:jc w:val="center"/>
                    <w:rPr>
                      <w:rFonts w:hint="default"/>
                      <w:lang w:val="en-US" w:eastAsia="zh-CN"/>
                    </w:rPr>
                  </w:pPr>
                  <w:r>
                    <w:rPr>
                      <w:rFonts w:hint="default"/>
                      <w:lang w:val="en-US" w:eastAsia="zh-CN"/>
                    </w:rPr>
                    <w:t>2026.05.20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default"/>
                      <w:lang w:val="en-US" w:eastAsia="zh-CN"/>
                    </w:rPr>
                  </w:pPr>
                  <w:r>
                    <w:rPr>
                      <w:rFonts w:hint="default"/>
                      <w:lang w:val="en-US" w:eastAsia="zh-CN"/>
                    </w:rPr>
                    <w:t>CTS-019</w:t>
                  </w:r>
                </w:p>
              </w:tc>
              <w:tc>
                <w:tcPr>
                  <w:tcW w:w="2093" w:type="pct"/>
                  <w:noWrap w:val="0"/>
                  <w:vAlign w:val="center"/>
                </w:tcPr>
                <w:p>
                  <w:pPr>
                    <w:jc w:val="center"/>
                    <w:rPr>
                      <w:rFonts w:hint="eastAsia"/>
                      <w:lang w:val="en-US" w:eastAsia="zh-CN"/>
                    </w:rPr>
                  </w:pPr>
                  <w:r>
                    <w:rPr>
                      <w:rFonts w:hint="default"/>
                      <w:lang w:val="en-US" w:eastAsia="zh-CN"/>
                    </w:rPr>
                    <w:t>分析天平Cp114</w:t>
                  </w:r>
                </w:p>
              </w:tc>
              <w:tc>
                <w:tcPr>
                  <w:tcW w:w="1024" w:type="pct"/>
                  <w:noWrap w:val="0"/>
                  <w:vAlign w:val="center"/>
                </w:tcPr>
                <w:p>
                  <w:pPr>
                    <w:jc w:val="center"/>
                    <w:rPr>
                      <w:rFonts w:hint="default"/>
                      <w:lang w:val="en-US" w:eastAsia="zh-CN"/>
                    </w:rPr>
                  </w:pPr>
                  <w:r>
                    <w:rPr>
                      <w:rFonts w:hint="default"/>
                      <w:lang w:val="en-US" w:eastAsia="zh-CN"/>
                    </w:rPr>
                    <w:t>2025.05.21</w:t>
                  </w:r>
                </w:p>
              </w:tc>
              <w:tc>
                <w:tcPr>
                  <w:tcW w:w="1024" w:type="pct"/>
                  <w:noWrap w:val="0"/>
                  <w:vAlign w:val="center"/>
                </w:tcPr>
                <w:p>
                  <w:pPr>
                    <w:jc w:val="center"/>
                    <w:rPr>
                      <w:rFonts w:hint="default"/>
                      <w:lang w:val="en-US" w:eastAsia="zh-CN"/>
                    </w:rPr>
                  </w:pPr>
                  <w:r>
                    <w:rPr>
                      <w:rFonts w:hint="default"/>
                      <w:lang w:val="en-US" w:eastAsia="zh-CN"/>
                    </w:rPr>
                    <w:t>2026.05.20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default"/>
                      <w:lang w:val="en-US" w:eastAsia="zh-CN"/>
                    </w:rPr>
                  </w:pPr>
                  <w:r>
                    <w:rPr>
                      <w:rFonts w:hint="eastAsia"/>
                      <w:lang w:val="en-US" w:eastAsia="zh-CN"/>
                    </w:rPr>
                    <w:t>CTS-271</w:t>
                  </w:r>
                </w:p>
              </w:tc>
              <w:tc>
                <w:tcPr>
                  <w:tcW w:w="2093" w:type="pct"/>
                  <w:noWrap w:val="0"/>
                  <w:vAlign w:val="center"/>
                </w:tcPr>
                <w:p>
                  <w:pPr>
                    <w:jc w:val="center"/>
                    <w:rPr>
                      <w:rFonts w:hint="eastAsia"/>
                      <w:lang w:val="en-US" w:eastAsia="zh-CN"/>
                    </w:rPr>
                  </w:pPr>
                  <w:r>
                    <w:rPr>
                      <w:rFonts w:hint="eastAsia"/>
                      <w:lang w:val="en-US" w:eastAsia="zh-CN"/>
                    </w:rPr>
                    <w:t>可见分光光度计721G</w:t>
                  </w:r>
                </w:p>
              </w:tc>
              <w:tc>
                <w:tcPr>
                  <w:tcW w:w="1024" w:type="pct"/>
                  <w:noWrap w:val="0"/>
                  <w:vAlign w:val="center"/>
                </w:tcPr>
                <w:p>
                  <w:pPr>
                    <w:jc w:val="center"/>
                    <w:rPr>
                      <w:rFonts w:hint="default"/>
                      <w:lang w:val="en-US" w:eastAsia="zh-CN"/>
                    </w:rPr>
                  </w:pPr>
                  <w:r>
                    <w:rPr>
                      <w:rFonts w:hint="default"/>
                      <w:lang w:val="en-US" w:eastAsia="zh-CN"/>
                    </w:rPr>
                    <w:t>2025.05.21</w:t>
                  </w:r>
                </w:p>
              </w:tc>
              <w:tc>
                <w:tcPr>
                  <w:tcW w:w="1024" w:type="pct"/>
                  <w:noWrap w:val="0"/>
                  <w:vAlign w:val="center"/>
                </w:tcPr>
                <w:p>
                  <w:pPr>
                    <w:jc w:val="center"/>
                    <w:rPr>
                      <w:rFonts w:hint="default"/>
                      <w:lang w:val="en-US" w:eastAsia="zh-CN"/>
                    </w:rPr>
                  </w:pPr>
                  <w:r>
                    <w:rPr>
                      <w:rFonts w:hint="default"/>
                      <w:lang w:val="en-US" w:eastAsia="zh-CN"/>
                    </w:rPr>
                    <w:t>2026.05.20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default"/>
                      <w:lang w:val="en-US" w:eastAsia="zh-CN"/>
                    </w:rPr>
                  </w:pPr>
                  <w:r>
                    <w:rPr>
                      <w:rFonts w:hint="eastAsia"/>
                      <w:lang w:val="en-US" w:eastAsia="zh-CN"/>
                    </w:rPr>
                    <w:t>CTS-278</w:t>
                  </w:r>
                </w:p>
              </w:tc>
              <w:tc>
                <w:tcPr>
                  <w:tcW w:w="2093" w:type="pct"/>
                  <w:noWrap w:val="0"/>
                  <w:vAlign w:val="center"/>
                </w:tcPr>
                <w:p>
                  <w:pPr>
                    <w:jc w:val="center"/>
                    <w:rPr>
                      <w:rFonts w:hint="eastAsia"/>
                      <w:lang w:val="en-US" w:eastAsia="zh-CN"/>
                    </w:rPr>
                  </w:pPr>
                  <w:r>
                    <w:rPr>
                      <w:rFonts w:hint="default"/>
                      <w:lang w:val="en-US" w:eastAsia="zh-CN"/>
                    </w:rPr>
                    <w:t>紫外多参数水质综合检测仪HM-U800</w:t>
                  </w:r>
                </w:p>
              </w:tc>
              <w:tc>
                <w:tcPr>
                  <w:tcW w:w="1024" w:type="pct"/>
                  <w:noWrap w:val="0"/>
                  <w:vAlign w:val="center"/>
                </w:tcPr>
                <w:p>
                  <w:pPr>
                    <w:jc w:val="center"/>
                    <w:rPr>
                      <w:rFonts w:hint="default"/>
                      <w:lang w:val="en-US" w:eastAsia="zh-CN"/>
                    </w:rPr>
                  </w:pPr>
                  <w:r>
                    <w:rPr>
                      <w:rFonts w:hint="default"/>
                      <w:lang w:val="en-US" w:eastAsia="zh-CN"/>
                    </w:rPr>
                    <w:t>2025.05.21</w:t>
                  </w:r>
                </w:p>
              </w:tc>
              <w:tc>
                <w:tcPr>
                  <w:tcW w:w="1024" w:type="pct"/>
                  <w:noWrap w:val="0"/>
                  <w:vAlign w:val="center"/>
                </w:tcPr>
                <w:p>
                  <w:pPr>
                    <w:jc w:val="center"/>
                    <w:rPr>
                      <w:rFonts w:hint="default"/>
                      <w:lang w:val="en-US" w:eastAsia="zh-CN"/>
                    </w:rPr>
                  </w:pPr>
                  <w:r>
                    <w:rPr>
                      <w:rFonts w:hint="default"/>
                      <w:lang w:val="en-US" w:eastAsia="zh-CN"/>
                    </w:rPr>
                    <w:t>2026.05.20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noWrap w:val="0"/>
                  <w:vAlign w:val="center"/>
                </w:tcPr>
                <w:p>
                  <w:pPr>
                    <w:jc w:val="center"/>
                    <w:rPr>
                      <w:rFonts w:hint="default"/>
                      <w:lang w:val="en-US" w:eastAsia="zh-CN"/>
                    </w:rPr>
                  </w:pPr>
                  <w:r>
                    <w:rPr>
                      <w:rFonts w:hint="default"/>
                      <w:lang w:val="en-US" w:eastAsia="zh-CN"/>
                    </w:rPr>
                    <w:t>CTS-054</w:t>
                  </w:r>
                </w:p>
              </w:tc>
              <w:tc>
                <w:tcPr>
                  <w:tcW w:w="2093" w:type="pct"/>
                  <w:noWrap w:val="0"/>
                  <w:vAlign w:val="center"/>
                </w:tcPr>
                <w:p>
                  <w:pPr>
                    <w:jc w:val="center"/>
                    <w:rPr>
                      <w:rFonts w:hint="eastAsia"/>
                      <w:lang w:val="en-US" w:eastAsia="zh-CN"/>
                    </w:rPr>
                  </w:pPr>
                  <w:r>
                    <w:rPr>
                      <w:rFonts w:hint="default"/>
                      <w:lang w:val="en-US" w:eastAsia="zh-CN"/>
                    </w:rPr>
                    <w:t>生化培养箱LRH250</w:t>
                  </w:r>
                </w:p>
              </w:tc>
              <w:tc>
                <w:tcPr>
                  <w:tcW w:w="1024" w:type="pct"/>
                  <w:noWrap w:val="0"/>
                  <w:vAlign w:val="center"/>
                </w:tcPr>
                <w:p>
                  <w:pPr>
                    <w:jc w:val="center"/>
                    <w:rPr>
                      <w:rFonts w:hint="default"/>
                      <w:lang w:val="en-US" w:eastAsia="zh-CN"/>
                    </w:rPr>
                  </w:pPr>
                  <w:r>
                    <w:rPr>
                      <w:rFonts w:hint="default"/>
                      <w:lang w:val="en-US" w:eastAsia="zh-CN"/>
                    </w:rPr>
                    <w:t>2025.05.21</w:t>
                  </w:r>
                </w:p>
              </w:tc>
              <w:tc>
                <w:tcPr>
                  <w:tcW w:w="1024" w:type="pct"/>
                  <w:noWrap w:val="0"/>
                  <w:vAlign w:val="center"/>
                </w:tcPr>
                <w:p>
                  <w:pPr>
                    <w:jc w:val="center"/>
                    <w:rPr>
                      <w:rFonts w:hint="default"/>
                      <w:lang w:val="en-US" w:eastAsia="zh-CN"/>
                    </w:rPr>
                  </w:pPr>
                  <w:r>
                    <w:rPr>
                      <w:rFonts w:hint="default"/>
                      <w:lang w:val="en-US" w:eastAsia="zh-CN"/>
                    </w:rPr>
                    <w:t>2026.05.20</w:t>
                  </w:r>
                </w:p>
              </w:tc>
            </w:tr>
          </w:tbl>
          <w:p>
            <w:pPr>
              <w:pStyle w:val="6"/>
              <w:bidi w:val="0"/>
              <w:rPr>
                <w:rFonts w:hint="default"/>
                <w:lang w:val="en-US" w:eastAsia="zh-CN"/>
              </w:rPr>
            </w:pPr>
            <w:bookmarkStart w:id="66" w:name="_Toc2093"/>
            <w:r>
              <w:rPr>
                <w:rFonts w:hint="default"/>
                <w:lang w:val="en-US" w:eastAsia="zh-CN"/>
              </w:rPr>
              <w:t>5.4检测人员资质</w:t>
            </w:r>
            <w:bookmarkEnd w:id="66"/>
          </w:p>
          <w:p>
            <w:pPr>
              <w:keepNext w:val="0"/>
              <w:keepLines w:val="0"/>
              <w:pageBreakBefore w:val="0"/>
              <w:widowControl w:val="0"/>
              <w:kinsoku/>
              <w:wordWrap/>
              <w:overflowPunct/>
              <w:topLinePunct w:val="0"/>
              <w:autoSpaceDE/>
              <w:autoSpaceDN/>
              <w:bidi w:val="0"/>
              <w:adjustRightInd/>
              <w:snapToGrid w:val="0"/>
              <w:spacing w:line="360" w:lineRule="auto"/>
              <w:ind w:firstLine="482"/>
              <w:jc w:val="both"/>
              <w:textAlignment w:val="auto"/>
              <w:rPr>
                <w:rFonts w:hint="default"/>
                <w:sz w:val="24"/>
                <w:szCs w:val="24"/>
                <w:lang w:val="en-US" w:eastAsia="zh-CN"/>
              </w:rPr>
            </w:pPr>
            <w:r>
              <w:rPr>
                <w:rFonts w:hint="default"/>
                <w:sz w:val="24"/>
                <w:szCs w:val="24"/>
                <w:lang w:val="en-US" w:eastAsia="zh-CN"/>
              </w:rPr>
              <w:t>本项目参与的检测技术人员均经过培训考核，100%持证上岗，具体见下表。</w:t>
            </w:r>
          </w:p>
          <w:p>
            <w:pPr>
              <w:pStyle w:val="9"/>
              <w:bidi w:val="0"/>
              <w:rPr>
                <w:rFonts w:hint="default"/>
                <w:highlight w:val="none"/>
                <w:lang w:val="en-US" w:eastAsia="zh-CN"/>
              </w:rPr>
            </w:pPr>
            <w:r>
              <w:rPr>
                <w:rFonts w:hint="default"/>
                <w:highlight w:val="none"/>
                <w:lang w:val="en-US" w:eastAsia="zh-CN"/>
              </w:rPr>
              <w:t>表5.</w:t>
            </w:r>
            <w:r>
              <w:rPr>
                <w:rFonts w:hint="eastAsia"/>
                <w:highlight w:val="none"/>
                <w:lang w:val="en-US" w:eastAsia="zh-CN"/>
              </w:rPr>
              <w:t>4</w:t>
            </w:r>
            <w:r>
              <w:rPr>
                <w:rFonts w:hint="default"/>
                <w:highlight w:val="none"/>
                <w:lang w:val="en-US" w:eastAsia="zh-CN"/>
              </w:rPr>
              <w:t>-</w:t>
            </w:r>
            <w:r>
              <w:rPr>
                <w:rFonts w:hint="eastAsia"/>
                <w:highlight w:val="none"/>
                <w:lang w:val="en-US" w:eastAsia="zh-CN"/>
              </w:rPr>
              <w:t xml:space="preserve">1  </w:t>
            </w:r>
            <w:r>
              <w:rPr>
                <w:rFonts w:hint="default"/>
                <w:highlight w:val="none"/>
                <w:lang w:val="en-US" w:eastAsia="zh-CN"/>
              </w:rPr>
              <w:t>检测人员持证情况一览表</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849"/>
              <w:gridCol w:w="5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0"/>
                  <w:vAlign w:val="center"/>
                </w:tcPr>
                <w:p>
                  <w:pPr>
                    <w:tabs>
                      <w:tab w:val="center" w:pos="4153"/>
                      <w:tab w:val="right" w:pos="8306"/>
                    </w:tabs>
                    <w:suppressAutoHyphens/>
                    <w:snapToGrid w:val="0"/>
                    <w:jc w:val="center"/>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姓名</w:t>
                  </w:r>
                </w:p>
              </w:tc>
              <w:tc>
                <w:tcPr>
                  <w:tcW w:w="1912" w:type="dxa"/>
                  <w:noWrap w:val="0"/>
                  <w:vAlign w:val="center"/>
                </w:tcPr>
                <w:p>
                  <w:pPr>
                    <w:tabs>
                      <w:tab w:val="center" w:pos="4153"/>
                      <w:tab w:val="right" w:pos="8306"/>
                    </w:tabs>
                    <w:suppressAutoHyphens/>
                    <w:snapToGrid w:val="0"/>
                    <w:jc w:val="center"/>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上岗证号</w:t>
                  </w:r>
                </w:p>
              </w:tc>
              <w:tc>
                <w:tcPr>
                  <w:tcW w:w="5684" w:type="dxa"/>
                  <w:noWrap w:val="0"/>
                  <w:vAlign w:val="center"/>
                </w:tcPr>
                <w:p>
                  <w:pPr>
                    <w:tabs>
                      <w:tab w:val="center" w:pos="4153"/>
                      <w:tab w:val="right" w:pos="8306"/>
                    </w:tabs>
                    <w:suppressAutoHyphens/>
                    <w:snapToGrid w:val="0"/>
                    <w:jc w:val="center"/>
                    <w:rPr>
                      <w:rFonts w:hint="default"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bCs/>
                      <w:color w:val="auto"/>
                      <w:spacing w:val="0"/>
                      <w:sz w:val="21"/>
                      <w:szCs w:val="21"/>
                      <w:highlight w:val="none"/>
                      <w:lang w:val="en-US" w:eastAsia="zh-CN"/>
                    </w:rPr>
                    <w:t>持证能力项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0"/>
                  <w:vAlign w:val="center"/>
                </w:tcPr>
                <w:p>
                  <w:pPr>
                    <w:tabs>
                      <w:tab w:val="center" w:pos="4153"/>
                      <w:tab w:val="right" w:pos="8306"/>
                    </w:tabs>
                    <w:suppressAutoHyphens/>
                    <w:snapToGrid w:val="0"/>
                    <w:jc w:val="center"/>
                    <w:rPr>
                      <w:rFonts w:hint="default" w:ascii="Times New Roman" w:hAnsi="Times New Roman" w:eastAsia="宋体" w:cs="Times New Roman"/>
                      <w:bCs/>
                      <w:color w:val="auto"/>
                      <w:spacing w:val="0"/>
                      <w:kern w:val="2"/>
                      <w:sz w:val="21"/>
                      <w:szCs w:val="21"/>
                      <w:lang w:val="en-US" w:eastAsia="zh-CN" w:bidi="ar-SA"/>
                    </w:rPr>
                  </w:pPr>
                </w:p>
              </w:tc>
              <w:tc>
                <w:tcPr>
                  <w:tcW w:w="1912" w:type="dxa"/>
                  <w:noWrap w:val="0"/>
                  <w:vAlign w:val="center"/>
                </w:tcPr>
                <w:p>
                  <w:pPr>
                    <w:tabs>
                      <w:tab w:val="center" w:pos="4153"/>
                      <w:tab w:val="right" w:pos="8306"/>
                    </w:tabs>
                    <w:suppressAutoHyphens/>
                    <w:snapToGrid w:val="0"/>
                    <w:jc w:val="center"/>
                    <w:rPr>
                      <w:rFonts w:hint="default" w:ascii="Times New Roman" w:hAnsi="Times New Roman" w:eastAsia="宋体" w:cs="Times New Roman"/>
                      <w:bCs/>
                      <w:color w:val="FF0000"/>
                      <w:spacing w:val="0"/>
                      <w:sz w:val="21"/>
                      <w:szCs w:val="21"/>
                      <w:lang w:val="en-US" w:eastAsia="zh-CN"/>
                    </w:rPr>
                  </w:pPr>
                </w:p>
              </w:tc>
              <w:tc>
                <w:tcPr>
                  <w:tcW w:w="5684" w:type="dxa"/>
                  <w:vMerge w:val="restart"/>
                  <w:noWrap w:val="0"/>
                  <w:vAlign w:val="center"/>
                </w:tcPr>
                <w:p>
                  <w:pPr>
                    <w:suppressAutoHyphens/>
                    <w:snapToGrid w:val="0"/>
                    <w:jc w:val="center"/>
                    <w:rPr>
                      <w:rFonts w:hint="default" w:ascii="Times New Roman" w:hAnsi="Times New Roman" w:eastAsia="宋体" w:cs="Times New Roman"/>
                      <w:bCs/>
                      <w:color w:val="auto"/>
                      <w:spacing w:val="0"/>
                      <w:sz w:val="21"/>
                      <w:szCs w:val="21"/>
                      <w:lang w:val="en-US" w:eastAsia="zh-CN"/>
                    </w:rPr>
                  </w:pPr>
                  <w:r>
                    <w:rPr>
                      <w:rFonts w:hint="eastAsia" w:ascii="Times New Roman" w:hAnsi="Times New Roman" w:eastAsia="宋体" w:cs="Times New Roman"/>
                      <w:bCs/>
                      <w:color w:val="auto"/>
                      <w:spacing w:val="0"/>
                      <w:sz w:val="21"/>
                      <w:szCs w:val="21"/>
                      <w:lang w:val="en-US" w:eastAsia="zh-CN"/>
                    </w:rPr>
                    <w:t>采样、烟气参数、pH值、噪声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0"/>
                  <w:vAlign w:val="center"/>
                </w:tcPr>
                <w:p>
                  <w:pPr>
                    <w:tabs>
                      <w:tab w:val="center" w:pos="4153"/>
                      <w:tab w:val="right" w:pos="8306"/>
                    </w:tabs>
                    <w:suppressAutoHyphens/>
                    <w:snapToGrid w:val="0"/>
                    <w:jc w:val="center"/>
                    <w:rPr>
                      <w:rFonts w:hint="default" w:ascii="Times New Roman" w:hAnsi="Times New Roman" w:eastAsia="宋体" w:cs="Times New Roman"/>
                      <w:bCs/>
                      <w:color w:val="auto"/>
                      <w:spacing w:val="0"/>
                      <w:kern w:val="2"/>
                      <w:sz w:val="21"/>
                      <w:szCs w:val="21"/>
                      <w:lang w:val="en-US" w:eastAsia="zh-CN" w:bidi="ar-SA"/>
                    </w:rPr>
                  </w:pPr>
                </w:p>
              </w:tc>
              <w:tc>
                <w:tcPr>
                  <w:tcW w:w="1912" w:type="dxa"/>
                  <w:noWrap w:val="0"/>
                  <w:vAlign w:val="center"/>
                </w:tcPr>
                <w:p>
                  <w:pPr>
                    <w:tabs>
                      <w:tab w:val="center" w:pos="4153"/>
                      <w:tab w:val="right" w:pos="8306"/>
                    </w:tabs>
                    <w:suppressAutoHyphens/>
                    <w:snapToGrid w:val="0"/>
                    <w:jc w:val="center"/>
                    <w:rPr>
                      <w:rFonts w:hint="default" w:ascii="Times New Roman" w:hAnsi="Times New Roman" w:eastAsia="宋体" w:cs="Times New Roman"/>
                      <w:bCs/>
                      <w:color w:val="FF0000"/>
                      <w:spacing w:val="0"/>
                      <w:sz w:val="21"/>
                      <w:szCs w:val="21"/>
                      <w:lang w:val="en-US" w:eastAsia="zh-CN"/>
                    </w:rPr>
                  </w:pPr>
                </w:p>
              </w:tc>
              <w:tc>
                <w:tcPr>
                  <w:tcW w:w="5684" w:type="dxa"/>
                  <w:vMerge w:val="continue"/>
                  <w:noWrap w:val="0"/>
                  <w:vAlign w:val="center"/>
                </w:tcPr>
                <w:p>
                  <w:pPr>
                    <w:suppressAutoHyphens/>
                    <w:snapToGrid w:val="0"/>
                    <w:jc w:val="center"/>
                    <w:rPr>
                      <w:rFonts w:hint="default" w:ascii="Times New Roman" w:hAnsi="Times New Roman" w:eastAsia="宋体" w:cs="Times New Roman"/>
                      <w:bCs/>
                      <w:color w:val="auto"/>
                      <w:spacing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191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56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pacing w:val="0"/>
                      <w:sz w:val="21"/>
                      <w:szCs w:val="21"/>
                      <w:lang w:val="en-US" w:eastAsia="zh-CN"/>
                    </w:rPr>
                  </w:pPr>
                  <w:r>
                    <w:rPr>
                      <w:rFonts w:hint="eastAsia" w:ascii="Times New Roman" w:hAnsi="Times New Roman" w:eastAsia="宋体" w:cs="Times New Roman"/>
                      <w:bCs/>
                      <w:color w:val="auto"/>
                      <w:spacing w:val="0"/>
                      <w:sz w:val="21"/>
                      <w:szCs w:val="21"/>
                      <w:lang w:val="en-US" w:eastAsia="zh-CN"/>
                    </w:rPr>
                    <w:t>废气：颗粒物；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pacing w:val="0"/>
                      <w:sz w:val="21"/>
                      <w:szCs w:val="21"/>
                      <w:lang w:val="en-US" w:eastAsia="zh-CN"/>
                    </w:rPr>
                  </w:pPr>
                  <w:r>
                    <w:rPr>
                      <w:rFonts w:hint="eastAsia" w:ascii="Times New Roman" w:hAnsi="Times New Roman" w:eastAsia="宋体" w:cs="Times New Roman"/>
                      <w:bCs/>
                      <w:color w:val="auto"/>
                      <w:spacing w:val="0"/>
                      <w:sz w:val="21"/>
                      <w:szCs w:val="21"/>
                      <w:lang w:val="en-US" w:eastAsia="zh-CN"/>
                    </w:rPr>
                    <w:t>废水：悬浮物、氨氮、总磷、化学需氧量、五日生化需氧量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191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5684" w:type="dxa"/>
                  <w:vMerge w:val="continue"/>
                  <w:noWrap w:val="0"/>
                  <w:vAlign w:val="center"/>
                </w:tcPr>
                <w:p>
                  <w:pPr>
                    <w:suppressAutoHyphens/>
                    <w:snapToGrid w:val="0"/>
                    <w:jc w:val="left"/>
                    <w:rPr>
                      <w:rFonts w:hint="default" w:ascii="Times New Roman" w:hAnsi="Times New Roman" w:eastAsia="宋体" w:cs="Times New Roman"/>
                      <w:bCs/>
                      <w:color w:val="auto"/>
                      <w:spacing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84" w:type="dxa"/>
                  <w:vMerge w:val="continue"/>
                  <w:noWrap w:val="0"/>
                  <w:vAlign w:val="center"/>
                </w:tcPr>
                <w:p>
                  <w:pPr>
                    <w:suppressAutoHyphens/>
                    <w:snapToGrid w:val="0"/>
                    <w:jc w:val="left"/>
                    <w:rPr>
                      <w:rFonts w:hint="default" w:ascii="Times New Roman" w:hAnsi="Times New Roman" w:eastAsia="宋体" w:cs="Times New Roman"/>
                      <w:bCs/>
                      <w:color w:val="auto"/>
                      <w:spacing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191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5684" w:type="dxa"/>
                  <w:vMerge w:val="continue"/>
                  <w:noWrap w:val="0"/>
                  <w:vAlign w:val="center"/>
                </w:tcPr>
                <w:p>
                  <w:pPr>
                    <w:suppressAutoHyphens/>
                    <w:snapToGrid w:val="0"/>
                    <w:jc w:val="left"/>
                    <w:rPr>
                      <w:rFonts w:hint="default" w:ascii="Times New Roman" w:hAnsi="Times New Roman" w:eastAsia="宋体" w:cs="Times New Roman"/>
                      <w:bCs/>
                      <w:color w:val="auto"/>
                      <w:spacing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191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5684" w:type="dxa"/>
                  <w:vMerge w:val="continue"/>
                  <w:noWrap w:val="0"/>
                  <w:vAlign w:val="center"/>
                </w:tcPr>
                <w:p>
                  <w:pPr>
                    <w:suppressAutoHyphens/>
                    <w:snapToGrid w:val="0"/>
                    <w:jc w:val="left"/>
                    <w:rPr>
                      <w:rFonts w:hint="default" w:ascii="Times New Roman" w:hAnsi="Times New Roman" w:eastAsia="宋体" w:cs="Times New Roman"/>
                      <w:bCs/>
                      <w:color w:val="auto"/>
                      <w:spacing w:val="0"/>
                      <w:sz w:val="21"/>
                      <w:szCs w:val="21"/>
                      <w:lang w:val="en-US" w:eastAsia="zh-CN"/>
                    </w:rPr>
                  </w:pPr>
                </w:p>
              </w:tc>
            </w:tr>
          </w:tbl>
          <w:p>
            <w:pPr>
              <w:spacing w:before="62" w:beforeLines="20" w:line="360" w:lineRule="auto"/>
              <w:jc w:val="center"/>
              <w:rPr>
                <w:rFonts w:hint="default"/>
              </w:rPr>
            </w:pPr>
          </w:p>
          <w:p>
            <w:pPr>
              <w:pStyle w:val="2"/>
              <w:rPr>
                <w:rFonts w:hint="default"/>
              </w:rPr>
            </w:pPr>
          </w:p>
        </w:tc>
      </w:tr>
    </w:tbl>
    <w:p>
      <w:pPr>
        <w:jc w:val="center"/>
        <w:rPr>
          <w:rFonts w:hint="default" w:ascii="Times New Roman" w:hAnsi="Times New Roman" w:cs="Times New Roman"/>
          <w:highlight w:val="none"/>
          <w:lang w:eastAsia="zh-CN"/>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224" w:beforeLines="70" w:after="224" w:afterLines="70"/>
        <w:textAlignment w:val="auto"/>
        <w:rPr>
          <w:rFonts w:hint="default" w:ascii="Times New Roman" w:hAnsi="Times New Roman" w:cs="Times New Roman"/>
          <w:highlight w:val="none"/>
          <w:lang w:eastAsia="zh-CN"/>
        </w:rPr>
      </w:pPr>
      <w:bookmarkStart w:id="67" w:name="_Toc14198"/>
      <w:bookmarkStart w:id="68" w:name="_Toc16509"/>
      <w:r>
        <w:rPr>
          <w:rFonts w:hint="default" w:ascii="Times New Roman" w:hAnsi="Times New Roman" w:cs="Times New Roman"/>
          <w:highlight w:val="none"/>
          <w:lang w:eastAsia="zh-CN"/>
        </w:rPr>
        <w:t>表六</w:t>
      </w:r>
      <w:r>
        <w:rPr>
          <w:rFonts w:hint="default" w:ascii="Times New Roman" w:hAnsi="Times New Roman" w:cs="Times New Roman"/>
          <w:highlight w:val="none"/>
          <w:lang w:val="en-US" w:eastAsia="zh-CN"/>
        </w:rPr>
        <w:t xml:space="preserve">  验收监测内容</w:t>
      </w:r>
      <w:bookmarkEnd w:id="67"/>
      <w:bookmarkEnd w:id="68"/>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0" w:hRule="atLeast"/>
          <w:jc w:val="center"/>
        </w:trPr>
        <w:tc>
          <w:tcPr>
            <w:tcW w:w="9288" w:type="dxa"/>
            <w:noWrap w:val="0"/>
            <w:vAlign w:val="top"/>
          </w:tcPr>
          <w:p>
            <w:pPr>
              <w:pStyle w:val="6"/>
              <w:rPr>
                <w:rFonts w:hint="default" w:ascii="Times New Roman" w:hAnsi="Times New Roman" w:cs="Times New Roman"/>
                <w:highlight w:val="none"/>
                <w:lang w:val="en-US" w:eastAsia="zh-CN"/>
              </w:rPr>
            </w:pPr>
            <w:bookmarkStart w:id="69" w:name="_Toc21074"/>
            <w:bookmarkStart w:id="70" w:name="_Toc30469"/>
            <w:r>
              <w:rPr>
                <w:rFonts w:hint="default" w:ascii="Times New Roman" w:hAnsi="Times New Roman" w:cs="Times New Roman"/>
                <w:highlight w:val="none"/>
                <w:lang w:val="en-US" w:eastAsia="zh-CN"/>
              </w:rPr>
              <w:t>6.1</w:t>
            </w:r>
            <w:bookmarkEnd w:id="69"/>
            <w:bookmarkStart w:id="71" w:name="_Toc2587"/>
            <w:r>
              <w:rPr>
                <w:rFonts w:hint="default" w:ascii="Times New Roman" w:hAnsi="Times New Roman" w:cs="Times New Roman"/>
                <w:highlight w:val="none"/>
                <w:lang w:val="en-US" w:eastAsia="zh-CN"/>
              </w:rPr>
              <w:t>废气</w:t>
            </w:r>
            <w:bookmarkEnd w:id="70"/>
            <w:bookmarkEnd w:id="71"/>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根据项目环评报告</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、环评</w:t>
            </w:r>
            <w:r>
              <w:rPr>
                <w:rFonts w:hint="default" w:ascii="Times New Roman" w:hAnsi="Times New Roman" w:cs="Times New Roman"/>
                <w:color w:val="auto"/>
                <w:sz w:val="24"/>
                <w:szCs w:val="24"/>
                <w:highlight w:val="none"/>
              </w:rPr>
              <w:t>批复</w:t>
            </w:r>
            <w:r>
              <w:rPr>
                <w:rFonts w:hint="default" w:ascii="Times New Roman" w:hAnsi="Times New Roman" w:cs="Times New Roman"/>
                <w:color w:val="auto"/>
                <w:sz w:val="24"/>
                <w:szCs w:val="24"/>
                <w:highlight w:val="none"/>
                <w:lang w:val="en-US" w:eastAsia="zh-CN"/>
              </w:rPr>
              <w:t>及排放标准</w:t>
            </w:r>
            <w:r>
              <w:rPr>
                <w:rFonts w:hint="default" w:ascii="Times New Roman" w:hAnsi="Times New Roman" w:cs="Times New Roman"/>
                <w:color w:val="auto"/>
                <w:sz w:val="24"/>
                <w:szCs w:val="24"/>
                <w:highlight w:val="none"/>
              </w:rPr>
              <w:t>并结合公司实际情况，</w:t>
            </w:r>
            <w:r>
              <w:rPr>
                <w:rFonts w:hint="eastAsia" w:cs="Times New Roman"/>
                <w:color w:val="auto"/>
                <w:sz w:val="24"/>
                <w:szCs w:val="24"/>
                <w:highlight w:val="none"/>
                <w:lang w:val="en-US" w:eastAsia="zh-CN"/>
              </w:rPr>
              <w:t>项目有组织废气排放口为一般排放口，且布袋除尘设施进口处场地受限，难以布设监测平台，故本次验收监测在排气筒出口采样</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有组织废气</w:t>
            </w:r>
            <w:r>
              <w:rPr>
                <w:rFonts w:hint="default" w:ascii="Times New Roman" w:hAnsi="Times New Roman" w:cs="Times New Roman"/>
                <w:color w:val="auto"/>
                <w:sz w:val="24"/>
                <w:szCs w:val="24"/>
                <w:highlight w:val="none"/>
              </w:rPr>
              <w:t>监测因子、点位、频次见表</w:t>
            </w:r>
            <w:r>
              <w:rPr>
                <w:rFonts w:hint="default" w:ascii="Times New Roman" w:hAnsi="Times New Roman" w:cs="Times New Roman"/>
                <w:color w:val="auto"/>
                <w:sz w:val="24"/>
                <w:szCs w:val="24"/>
                <w:highlight w:val="none"/>
                <w:lang w:val="en-US" w:eastAsia="zh-CN"/>
              </w:rPr>
              <w:t>6.1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，无组织废气</w:t>
            </w:r>
            <w:r>
              <w:rPr>
                <w:rFonts w:hint="default" w:ascii="Times New Roman" w:hAnsi="Times New Roman" w:cs="Times New Roman"/>
                <w:color w:val="auto"/>
                <w:sz w:val="24"/>
                <w:szCs w:val="24"/>
                <w:highlight w:val="none"/>
              </w:rPr>
              <w:t>监测因子、点位、频次见表</w:t>
            </w:r>
            <w:r>
              <w:rPr>
                <w:rFonts w:hint="default" w:ascii="Times New Roman" w:hAnsi="Times New Roman" w:cs="Times New Roman"/>
                <w:color w:val="auto"/>
                <w:sz w:val="24"/>
                <w:szCs w:val="24"/>
                <w:highlight w:val="none"/>
                <w:lang w:val="en-US" w:eastAsia="zh-CN"/>
              </w:rPr>
              <w:t>6.1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监测点位见附图</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w:t>
            </w: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highlight w:val="none"/>
                <w:lang w:val="en-US" w:eastAsia="zh-CN"/>
              </w:rPr>
            </w:pPr>
            <w:r>
              <w:rPr>
                <w:rFonts w:hint="default" w:ascii="Times New Roman" w:hAnsi="Times New Roman" w:cs="宋体"/>
                <w:color w:val="auto"/>
                <w:highlight w:val="none"/>
                <w:lang w:val="en-US" w:eastAsia="zh-CN"/>
              </w:rPr>
              <w:t>表6.1-1  有组织废气监测因子、点位及频次一览表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569"/>
              <w:gridCol w:w="2318"/>
              <w:gridCol w:w="1287"/>
              <w:gridCol w:w="1345"/>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7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编号</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eastAsia="zh-CN"/>
                    </w:rPr>
                    <w:t>污染源</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环保措施</w:t>
                  </w:r>
                </w:p>
              </w:tc>
              <w:tc>
                <w:tcPr>
                  <w:tcW w:w="71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eastAsia="zh-CN"/>
                    </w:rPr>
                    <w:t>监测项目</w:t>
                  </w:r>
                </w:p>
              </w:tc>
              <w:tc>
                <w:tcPr>
                  <w:tcW w:w="74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eastAsia="zh-CN"/>
                    </w:rPr>
                    <w:t>监测点位</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2" w:hRule="atLeast"/>
                <w:tblHeader/>
                <w:jc w:val="center"/>
              </w:trPr>
              <w:tc>
                <w:tcPr>
                  <w:tcW w:w="7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w:t>
                  </w:r>
                  <w:r>
                    <w:rPr>
                      <w:rFonts w:hint="eastAsia" w:ascii="Times New Roman" w:hAnsi="Times New Roman" w:cs="Times New Roman"/>
                      <w:b w:val="0"/>
                      <w:bCs/>
                      <w:color w:val="auto"/>
                      <w:sz w:val="21"/>
                      <w:szCs w:val="21"/>
                      <w:highlight w:val="none"/>
                      <w:vertAlign w:val="baseline"/>
                      <w:lang w:val="en-US" w:eastAsia="zh-CN"/>
                    </w:rPr>
                    <w:t>DA00</w:t>
                  </w:r>
                  <w:r>
                    <w:rPr>
                      <w:rFonts w:hint="eastAsia" w:cs="Times New Roman"/>
                      <w:b w:val="0"/>
                      <w:bCs/>
                      <w:color w:val="auto"/>
                      <w:sz w:val="21"/>
                      <w:szCs w:val="21"/>
                      <w:highlight w:val="none"/>
                      <w:vertAlign w:val="baseline"/>
                      <w:lang w:val="en-US" w:eastAsia="zh-CN"/>
                    </w:rPr>
                    <w:t>3</w:t>
                  </w:r>
                </w:p>
              </w:tc>
              <w:tc>
                <w:tcPr>
                  <w:tcW w:w="86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eastAsia="宋体"/>
                      <w:b w:val="0"/>
                      <w:bCs/>
                      <w:color w:val="auto"/>
                      <w:sz w:val="21"/>
                      <w:szCs w:val="21"/>
                      <w:highlight w:val="none"/>
                      <w:lang w:val="en-US" w:eastAsia="zh-CN"/>
                    </w:rPr>
                  </w:pPr>
                  <w:r>
                    <w:rPr>
                      <w:rFonts w:hint="eastAsia" w:cs="Times New Roman"/>
                      <w:b w:val="0"/>
                      <w:bCs/>
                      <w:color w:val="auto"/>
                      <w:sz w:val="21"/>
                      <w:szCs w:val="21"/>
                      <w:highlight w:val="none"/>
                      <w:lang w:val="en-US" w:eastAsia="zh-CN"/>
                    </w:rPr>
                    <w:t>二次破碎废气</w:t>
                  </w:r>
                </w:p>
              </w:tc>
              <w:tc>
                <w:tcPr>
                  <w:tcW w:w="1279"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cs="Times New Roman"/>
                      <w:b w:val="0"/>
                      <w:bCs/>
                      <w:color w:val="auto"/>
                      <w:highlight w:val="none"/>
                    </w:rPr>
                    <w:t>1套</w:t>
                  </w:r>
                  <w:r>
                    <w:rPr>
                      <w:rFonts w:hint="default" w:ascii="Times New Roman" w:hAnsi="Times New Roman" w:eastAsia="宋体" w:cs="Times New Roman"/>
                      <w:b w:val="0"/>
                      <w:bCs/>
                      <w:color w:val="auto"/>
                      <w:highlight w:val="none"/>
                      <w:lang w:eastAsia="zh-CN"/>
                    </w:rPr>
                    <w:t>“</w:t>
                  </w:r>
                  <w:r>
                    <w:rPr>
                      <w:rFonts w:hint="eastAsia" w:cs="Times New Roman"/>
                      <w:b w:val="0"/>
                      <w:bCs/>
                      <w:color w:val="auto"/>
                      <w:highlight w:val="none"/>
                      <w:lang w:val="en-US" w:eastAsia="zh-CN"/>
                    </w:rPr>
                    <w:t>布袋除尘</w:t>
                  </w:r>
                  <w:r>
                    <w:rPr>
                      <w:rFonts w:hint="default" w:ascii="Times New Roman" w:hAnsi="Times New Roman" w:eastAsia="宋体" w:cs="Times New Roman"/>
                      <w:b w:val="0"/>
                      <w:bCs/>
                      <w:color w:val="auto"/>
                      <w:highlight w:val="none"/>
                      <w:lang w:eastAsia="zh-CN"/>
                    </w:rPr>
                    <w:t>”</w:t>
                  </w:r>
                  <w:r>
                    <w:rPr>
                      <w:rFonts w:hint="default" w:ascii="Times New Roman" w:hAnsi="Times New Roman" w:eastAsia="宋体" w:cs="Times New Roman"/>
                      <w:b w:val="0"/>
                      <w:bCs/>
                      <w:color w:val="auto"/>
                      <w:highlight w:val="none"/>
                    </w:rPr>
                    <w:t>设施处理</w:t>
                  </w:r>
                  <w:r>
                    <w:rPr>
                      <w:rFonts w:hint="default" w:ascii="Times New Roman" w:hAnsi="Times New Roman" w:eastAsia="宋体" w:cs="Times New Roman"/>
                      <w:b w:val="0"/>
                      <w:bCs/>
                      <w:color w:val="auto"/>
                      <w:highlight w:val="none"/>
                      <w:lang w:eastAsia="zh-CN"/>
                    </w:rPr>
                    <w:t>，</w:t>
                  </w:r>
                  <w:r>
                    <w:rPr>
                      <w:rFonts w:hint="default" w:ascii="Times New Roman" w:hAnsi="Times New Roman" w:eastAsia="宋体" w:cs="Times New Roman"/>
                      <w:b w:val="0"/>
                      <w:bCs/>
                      <w:color w:val="auto"/>
                      <w:highlight w:val="none"/>
                    </w:rPr>
                    <w:t>后经</w:t>
                  </w:r>
                  <w:r>
                    <w:rPr>
                      <w:rFonts w:hint="default" w:ascii="Times New Roman" w:hAnsi="Times New Roman" w:cs="Times New Roman"/>
                      <w:b w:val="0"/>
                      <w:bCs/>
                      <w:color w:val="auto"/>
                      <w:highlight w:val="none"/>
                    </w:rPr>
                    <w:t>1根</w:t>
                  </w:r>
                  <w:r>
                    <w:rPr>
                      <w:rFonts w:hint="eastAsia" w:cs="Times New Roman"/>
                      <w:b w:val="0"/>
                      <w:bCs/>
                      <w:color w:val="auto"/>
                      <w:highlight w:val="none"/>
                      <w:lang w:val="en-US" w:eastAsia="zh-CN"/>
                    </w:rPr>
                    <w:t>20</w:t>
                  </w:r>
                  <w:r>
                    <w:rPr>
                      <w:rFonts w:hint="default" w:ascii="Times New Roman" w:hAnsi="Times New Roman" w:eastAsia="宋体" w:cs="Times New Roman"/>
                      <w:b w:val="0"/>
                      <w:bCs/>
                      <w:color w:val="auto"/>
                      <w:highlight w:val="none"/>
                      <w:lang w:val="en-US" w:eastAsia="zh-CN"/>
                    </w:rPr>
                    <w:t>m</w:t>
                  </w:r>
                  <w:r>
                    <w:rPr>
                      <w:rFonts w:hint="default" w:ascii="Times New Roman" w:hAnsi="Times New Roman" w:eastAsia="宋体" w:cs="Times New Roman"/>
                      <w:b w:val="0"/>
                      <w:bCs/>
                      <w:color w:val="auto"/>
                      <w:highlight w:val="none"/>
                    </w:rPr>
                    <w:t>高</w:t>
                  </w:r>
                  <w:r>
                    <w:rPr>
                      <w:rFonts w:hint="default" w:ascii="Times New Roman" w:hAnsi="Times New Roman" w:cs="Times New Roman"/>
                      <w:b w:val="0"/>
                      <w:bCs/>
                      <w:color w:val="auto"/>
                      <w:highlight w:val="none"/>
                    </w:rPr>
                    <w:t>排气筒</w:t>
                  </w:r>
                  <w:r>
                    <w:rPr>
                      <w:rFonts w:hint="default" w:ascii="Times New Roman" w:hAnsi="Times New Roman" w:eastAsia="宋体" w:cs="Times New Roman"/>
                      <w:b w:val="0"/>
                      <w:bCs/>
                      <w:color w:val="auto"/>
                      <w:highlight w:val="none"/>
                    </w:rPr>
                    <w:t>排放</w:t>
                  </w:r>
                </w:p>
              </w:tc>
              <w:tc>
                <w:tcPr>
                  <w:tcW w:w="710" w:type="pct"/>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Cs w:val="21"/>
                      <w:highlight w:val="none"/>
                    </w:rPr>
                    <w:t>颗粒物</w:t>
                  </w:r>
                </w:p>
              </w:tc>
              <w:tc>
                <w:tcPr>
                  <w:tcW w:w="74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val="en-US" w:eastAsia="zh-CN"/>
                    </w:rPr>
                    <w:t>排气筒出口</w:t>
                  </w:r>
                </w:p>
              </w:tc>
              <w:tc>
                <w:tcPr>
                  <w:tcW w:w="69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rPr>
                    <w:t>每天3次，共2天</w:t>
                  </w:r>
                </w:p>
              </w:tc>
            </w:tr>
          </w:tbl>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highlight w:val="none"/>
                <w:lang w:val="en-US" w:eastAsia="zh-CN"/>
              </w:rPr>
            </w:pPr>
            <w:bookmarkStart w:id="72" w:name="_Toc8273"/>
            <w:r>
              <w:rPr>
                <w:rFonts w:hint="default" w:ascii="Times New Roman" w:hAnsi="Times New Roman" w:cs="宋体"/>
                <w:color w:val="auto"/>
                <w:highlight w:val="none"/>
                <w:lang w:val="en-US" w:eastAsia="zh-CN"/>
              </w:rPr>
              <w:t>表6.1-2  无组织废气监测因子、点位及频次一览表</w:t>
            </w:r>
            <w:bookmarkEnd w:id="72"/>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3"/>
              <w:gridCol w:w="3096"/>
              <w:gridCol w:w="2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spacing w:val="0"/>
                      <w:w w:val="100"/>
                      <w:sz w:val="21"/>
                      <w:szCs w:val="21"/>
                      <w:highlight w:val="none"/>
                      <w:vertAlign w:val="baseline"/>
                      <w:lang w:val="en-US" w:eastAsia="zh-CN"/>
                    </w:rPr>
                  </w:pPr>
                  <w:r>
                    <w:rPr>
                      <w:rFonts w:hint="default" w:ascii="Times New Roman" w:hAnsi="Times New Roman" w:cs="Times New Roman"/>
                      <w:b w:val="0"/>
                      <w:bCs w:val="0"/>
                      <w:i w:val="0"/>
                      <w:iCs w:val="0"/>
                      <w:color w:val="auto"/>
                      <w:spacing w:val="0"/>
                      <w:w w:val="100"/>
                      <w:sz w:val="21"/>
                      <w:szCs w:val="21"/>
                      <w:highlight w:val="none"/>
                      <w:vertAlign w:val="baseline"/>
                      <w:lang w:val="en-US" w:eastAsia="zh-CN"/>
                    </w:rPr>
                    <w:t>监测点位</w:t>
                  </w:r>
                </w:p>
              </w:tc>
              <w:tc>
                <w:tcPr>
                  <w:tcW w:w="1708"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spacing w:val="0"/>
                      <w:w w:val="100"/>
                      <w:sz w:val="21"/>
                      <w:szCs w:val="21"/>
                      <w:highlight w:val="none"/>
                      <w:vertAlign w:val="baseline"/>
                      <w:lang w:val="en-US" w:eastAsia="zh-CN"/>
                    </w:rPr>
                  </w:pPr>
                  <w:r>
                    <w:rPr>
                      <w:rFonts w:hint="default" w:ascii="Times New Roman" w:hAnsi="Times New Roman" w:cs="Times New Roman"/>
                      <w:b w:val="0"/>
                      <w:bCs w:val="0"/>
                      <w:i w:val="0"/>
                      <w:iCs w:val="0"/>
                      <w:color w:val="auto"/>
                      <w:spacing w:val="0"/>
                      <w:w w:val="100"/>
                      <w:sz w:val="21"/>
                      <w:szCs w:val="21"/>
                      <w:highlight w:val="none"/>
                      <w:vertAlign w:val="baseline"/>
                      <w:lang w:val="en-US" w:eastAsia="zh-CN"/>
                    </w:rPr>
                    <w:t>监测项目</w:t>
                  </w:r>
                </w:p>
              </w:tc>
              <w:tc>
                <w:tcPr>
                  <w:tcW w:w="1500"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spacing w:val="0"/>
                      <w:w w:val="100"/>
                      <w:sz w:val="21"/>
                      <w:szCs w:val="21"/>
                      <w:highlight w:val="none"/>
                      <w:vertAlign w:val="baseline"/>
                      <w:lang w:val="en-US" w:eastAsia="zh-CN"/>
                    </w:rPr>
                  </w:pPr>
                  <w:r>
                    <w:rPr>
                      <w:rFonts w:hint="default" w:ascii="Times New Roman" w:hAnsi="Times New Roman" w:cs="Times New Roman"/>
                      <w:b w:val="0"/>
                      <w:bCs w:val="0"/>
                      <w:i w:val="0"/>
                      <w:iCs w:val="0"/>
                      <w:color w:val="auto"/>
                      <w:spacing w:val="0"/>
                      <w:w w:val="100"/>
                      <w:sz w:val="21"/>
                      <w:szCs w:val="21"/>
                      <w:highlight w:val="none"/>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w w:val="100"/>
                      <w:sz w:val="21"/>
                      <w:szCs w:val="21"/>
                      <w:highlight w:val="none"/>
                      <w:vertAlign w:val="baseline"/>
                      <w:lang w:val="en-US" w:eastAsia="zh-CN"/>
                    </w:rPr>
                  </w:pPr>
                  <w:r>
                    <w:rPr>
                      <w:rFonts w:hint="default" w:ascii="Times New Roman" w:hAnsi="Times New Roman" w:eastAsia="宋体" w:cs="Times New Roman"/>
                      <w:b w:val="0"/>
                      <w:bCs w:val="0"/>
                      <w:color w:val="auto"/>
                      <w:spacing w:val="0"/>
                      <w:w w:val="100"/>
                      <w:sz w:val="21"/>
                      <w:szCs w:val="21"/>
                      <w:highlight w:val="none"/>
                      <w:vertAlign w:val="baseline"/>
                      <w:lang w:val="en-US" w:eastAsia="zh-CN"/>
                    </w:rPr>
                    <w:t>厂界上风向</w:t>
                  </w:r>
                  <w:r>
                    <w:rPr>
                      <w:rFonts w:hint="eastAsia" w:ascii="宋体" w:hAnsi="宋体" w:eastAsia="宋体" w:cs="宋体"/>
                      <w:b w:val="0"/>
                      <w:bCs w:val="0"/>
                      <w:color w:val="auto"/>
                      <w:spacing w:val="0"/>
                      <w:w w:val="100"/>
                      <w:sz w:val="21"/>
                      <w:szCs w:val="21"/>
                      <w:highlight w:val="none"/>
                      <w:vertAlign w:val="baseline"/>
                      <w:lang w:val="en-US" w:eastAsia="zh-CN"/>
                    </w:rPr>
                    <w:t>○</w:t>
                  </w:r>
                  <w:r>
                    <w:rPr>
                      <w:rFonts w:hint="default" w:ascii="Times New Roman" w:hAnsi="Times New Roman" w:eastAsia="宋体" w:cs="Times New Roman"/>
                      <w:b w:val="0"/>
                      <w:bCs w:val="0"/>
                      <w:color w:val="auto"/>
                      <w:spacing w:val="0"/>
                      <w:w w:val="100"/>
                      <w:sz w:val="21"/>
                      <w:szCs w:val="21"/>
                      <w:highlight w:val="none"/>
                      <w:vertAlign w:val="baseline"/>
                      <w:lang w:val="en-US" w:eastAsia="zh-CN"/>
                    </w:rPr>
                    <w:t>1</w:t>
                  </w:r>
                </w:p>
              </w:tc>
              <w:tc>
                <w:tcPr>
                  <w:tcW w:w="1708" w:type="pct"/>
                  <w:vMerge w:val="restar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sz w:val="21"/>
                      <w:szCs w:val="21"/>
                      <w:highlight w:val="none"/>
                      <w:vertAlign w:val="baseline"/>
                      <w:lang w:val="en-US" w:eastAsia="zh-CN"/>
                    </w:rPr>
                  </w:pPr>
                  <w:r>
                    <w:rPr>
                      <w:rFonts w:hint="default" w:ascii="Times New Roman" w:hAnsi="Times New Roman" w:cs="Times New Roman"/>
                      <w:b w:val="0"/>
                      <w:bCs w:val="0"/>
                      <w:color w:val="auto"/>
                      <w:szCs w:val="21"/>
                      <w:highlight w:val="none"/>
                    </w:rPr>
                    <w:t>颗粒物</w:t>
                  </w:r>
                </w:p>
              </w:tc>
              <w:tc>
                <w:tcPr>
                  <w:tcW w:w="1500" w:type="pct"/>
                  <w:vMerge w:val="restar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rPr>
                    <w:t>每天3次，共2天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w w:val="100"/>
                      <w:sz w:val="21"/>
                      <w:szCs w:val="21"/>
                      <w:highlight w:val="none"/>
                      <w:vertAlign w:val="baseline"/>
                      <w:lang w:val="en-US" w:eastAsia="zh-CN"/>
                    </w:rPr>
                  </w:pPr>
                  <w:r>
                    <w:rPr>
                      <w:rFonts w:hint="default" w:ascii="Times New Roman" w:hAnsi="Times New Roman" w:eastAsia="宋体" w:cs="Times New Roman"/>
                      <w:b w:val="0"/>
                      <w:bCs w:val="0"/>
                      <w:color w:val="auto"/>
                      <w:spacing w:val="0"/>
                      <w:w w:val="100"/>
                      <w:sz w:val="21"/>
                      <w:szCs w:val="21"/>
                      <w:highlight w:val="none"/>
                      <w:vertAlign w:val="baseline"/>
                      <w:lang w:val="en-US" w:eastAsia="zh-CN"/>
                    </w:rPr>
                    <w:t>厂界下风向</w:t>
                  </w:r>
                  <w:r>
                    <w:rPr>
                      <w:rFonts w:hint="eastAsia" w:ascii="宋体" w:hAnsi="宋体" w:eastAsia="宋体" w:cs="宋体"/>
                      <w:b w:val="0"/>
                      <w:bCs w:val="0"/>
                      <w:color w:val="auto"/>
                      <w:spacing w:val="0"/>
                      <w:w w:val="100"/>
                      <w:sz w:val="21"/>
                      <w:szCs w:val="21"/>
                      <w:highlight w:val="none"/>
                      <w:vertAlign w:val="baseline"/>
                      <w:lang w:val="en-US" w:eastAsia="zh-CN"/>
                    </w:rPr>
                    <w:t>○</w:t>
                  </w:r>
                  <w:r>
                    <w:rPr>
                      <w:rFonts w:hint="default" w:ascii="Times New Roman" w:hAnsi="Times New Roman" w:eastAsia="宋体" w:cs="Times New Roman"/>
                      <w:b w:val="0"/>
                      <w:bCs w:val="0"/>
                      <w:color w:val="auto"/>
                      <w:spacing w:val="0"/>
                      <w:w w:val="100"/>
                      <w:sz w:val="21"/>
                      <w:szCs w:val="21"/>
                      <w:highlight w:val="none"/>
                      <w:vertAlign w:val="baseline"/>
                      <w:lang w:val="en-US" w:eastAsia="zh-CN"/>
                    </w:rPr>
                    <w:t>2</w:t>
                  </w:r>
                </w:p>
              </w:tc>
              <w:tc>
                <w:tcPr>
                  <w:tcW w:w="1708" w:type="pct"/>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sz w:val="21"/>
                      <w:szCs w:val="21"/>
                      <w:highlight w:val="none"/>
                      <w:vertAlign w:val="baseline"/>
                      <w:lang w:val="en-US" w:eastAsia="zh-CN"/>
                    </w:rPr>
                  </w:pPr>
                </w:p>
              </w:tc>
              <w:tc>
                <w:tcPr>
                  <w:tcW w:w="1500" w:type="pct"/>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w w:val="100"/>
                      <w:sz w:val="21"/>
                      <w:szCs w:val="21"/>
                      <w:highlight w:val="none"/>
                      <w:vertAlign w:val="baseline"/>
                      <w:lang w:val="en-US" w:eastAsia="zh-CN"/>
                    </w:rPr>
                  </w:pPr>
                  <w:r>
                    <w:rPr>
                      <w:rFonts w:hint="default" w:ascii="Times New Roman" w:hAnsi="Times New Roman" w:eastAsia="宋体" w:cs="Times New Roman"/>
                      <w:b w:val="0"/>
                      <w:bCs w:val="0"/>
                      <w:color w:val="auto"/>
                      <w:spacing w:val="0"/>
                      <w:w w:val="100"/>
                      <w:sz w:val="21"/>
                      <w:szCs w:val="21"/>
                      <w:highlight w:val="none"/>
                      <w:vertAlign w:val="baseline"/>
                      <w:lang w:val="en-US" w:eastAsia="zh-CN"/>
                    </w:rPr>
                    <w:t>厂界下风向</w:t>
                  </w:r>
                  <w:r>
                    <w:rPr>
                      <w:rFonts w:hint="eastAsia" w:ascii="宋体" w:hAnsi="宋体" w:eastAsia="宋体" w:cs="宋体"/>
                      <w:b w:val="0"/>
                      <w:bCs w:val="0"/>
                      <w:color w:val="auto"/>
                      <w:spacing w:val="0"/>
                      <w:w w:val="100"/>
                      <w:sz w:val="21"/>
                      <w:szCs w:val="21"/>
                      <w:highlight w:val="none"/>
                      <w:vertAlign w:val="baseline"/>
                      <w:lang w:val="en-US" w:eastAsia="zh-CN"/>
                    </w:rPr>
                    <w:t>○</w:t>
                  </w:r>
                  <w:r>
                    <w:rPr>
                      <w:rFonts w:hint="default" w:ascii="Times New Roman" w:hAnsi="Times New Roman" w:eastAsia="宋体" w:cs="Times New Roman"/>
                      <w:b w:val="0"/>
                      <w:bCs w:val="0"/>
                      <w:color w:val="auto"/>
                      <w:spacing w:val="0"/>
                      <w:w w:val="100"/>
                      <w:sz w:val="21"/>
                      <w:szCs w:val="21"/>
                      <w:highlight w:val="none"/>
                      <w:vertAlign w:val="baseline"/>
                      <w:lang w:val="en-US" w:eastAsia="zh-CN"/>
                    </w:rPr>
                    <w:t>3</w:t>
                  </w:r>
                </w:p>
              </w:tc>
              <w:tc>
                <w:tcPr>
                  <w:tcW w:w="1708" w:type="pct"/>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sz w:val="21"/>
                      <w:szCs w:val="21"/>
                      <w:highlight w:val="none"/>
                      <w:vertAlign w:val="baseline"/>
                      <w:lang w:val="en-US" w:eastAsia="zh-CN"/>
                    </w:rPr>
                  </w:pPr>
                </w:p>
              </w:tc>
              <w:tc>
                <w:tcPr>
                  <w:tcW w:w="1500" w:type="pct"/>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w w:val="100"/>
                      <w:sz w:val="21"/>
                      <w:szCs w:val="21"/>
                      <w:highlight w:val="none"/>
                      <w:vertAlign w:val="baseline"/>
                      <w:lang w:val="en-US" w:eastAsia="zh-CN"/>
                    </w:rPr>
                  </w:pPr>
                  <w:r>
                    <w:rPr>
                      <w:rFonts w:hint="default" w:ascii="Times New Roman" w:hAnsi="Times New Roman" w:eastAsia="宋体" w:cs="Times New Roman"/>
                      <w:b w:val="0"/>
                      <w:bCs w:val="0"/>
                      <w:color w:val="auto"/>
                      <w:spacing w:val="0"/>
                      <w:w w:val="100"/>
                      <w:sz w:val="21"/>
                      <w:szCs w:val="21"/>
                      <w:highlight w:val="none"/>
                      <w:vertAlign w:val="baseline"/>
                      <w:lang w:val="en-US" w:eastAsia="zh-CN"/>
                    </w:rPr>
                    <w:t>厂界下风向</w:t>
                  </w:r>
                  <w:r>
                    <w:rPr>
                      <w:rFonts w:hint="eastAsia" w:ascii="宋体" w:hAnsi="宋体" w:eastAsia="宋体" w:cs="宋体"/>
                      <w:b w:val="0"/>
                      <w:bCs w:val="0"/>
                      <w:color w:val="auto"/>
                      <w:spacing w:val="0"/>
                      <w:w w:val="100"/>
                      <w:sz w:val="21"/>
                      <w:szCs w:val="21"/>
                      <w:highlight w:val="none"/>
                      <w:vertAlign w:val="baseline"/>
                      <w:lang w:val="en-US" w:eastAsia="zh-CN"/>
                    </w:rPr>
                    <w:t>○</w:t>
                  </w:r>
                  <w:r>
                    <w:rPr>
                      <w:rFonts w:hint="default" w:ascii="Times New Roman" w:hAnsi="Times New Roman" w:eastAsia="宋体" w:cs="Times New Roman"/>
                      <w:b w:val="0"/>
                      <w:bCs w:val="0"/>
                      <w:color w:val="auto"/>
                      <w:spacing w:val="0"/>
                      <w:w w:val="100"/>
                      <w:sz w:val="21"/>
                      <w:szCs w:val="21"/>
                      <w:highlight w:val="none"/>
                      <w:vertAlign w:val="baseline"/>
                      <w:lang w:val="en-US" w:eastAsia="zh-CN"/>
                    </w:rPr>
                    <w:t>4</w:t>
                  </w:r>
                </w:p>
              </w:tc>
              <w:tc>
                <w:tcPr>
                  <w:tcW w:w="1708" w:type="pct"/>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sz w:val="21"/>
                      <w:szCs w:val="21"/>
                      <w:highlight w:val="none"/>
                      <w:vertAlign w:val="baseline"/>
                      <w:lang w:val="en-US" w:eastAsia="zh-CN"/>
                    </w:rPr>
                  </w:pPr>
                </w:p>
              </w:tc>
              <w:tc>
                <w:tcPr>
                  <w:tcW w:w="1500" w:type="pct"/>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sz w:val="21"/>
                      <w:szCs w:val="21"/>
                      <w:highlight w:val="none"/>
                      <w:vertAlign w:val="baseline"/>
                      <w:lang w:val="en-US" w:eastAsia="zh-CN"/>
                    </w:rPr>
                  </w:pPr>
                </w:p>
              </w:tc>
            </w:tr>
          </w:tbl>
          <w:p>
            <w:pPr>
              <w:pStyle w:val="6"/>
              <w:rPr>
                <w:rFonts w:hint="default" w:ascii="Times New Roman" w:hAnsi="Times New Roman" w:cs="Times New Roman"/>
                <w:color w:val="auto"/>
                <w:highlight w:val="none"/>
                <w:lang w:val="en-US" w:eastAsia="zh-CN"/>
              </w:rPr>
            </w:pPr>
            <w:bookmarkStart w:id="73" w:name="_Toc3380"/>
            <w:r>
              <w:rPr>
                <w:rFonts w:hint="default" w:ascii="Times New Roman" w:hAnsi="Times New Roman" w:cs="Times New Roman"/>
                <w:color w:val="auto"/>
                <w:highlight w:val="none"/>
                <w:lang w:val="en-US" w:eastAsia="zh-CN"/>
              </w:rPr>
              <w:t>6.2废水</w:t>
            </w:r>
            <w:bookmarkEnd w:id="73"/>
          </w:p>
          <w:p>
            <w:pPr>
              <w:pStyle w:val="27"/>
              <w:keepNext w:val="0"/>
              <w:keepLines w:val="0"/>
              <w:pageBreakBefore w:val="0"/>
              <w:widowControl w:val="0"/>
              <w:kinsoku/>
              <w:wordWrap/>
              <w:overflowPunct/>
              <w:topLinePunct w:val="0"/>
              <w:autoSpaceDE/>
              <w:autoSpaceDN/>
              <w:bidi w:val="0"/>
              <w:adjustRightInd w:val="0"/>
              <w:snapToGrid/>
              <w:spacing w:before="0" w:after="0" w:afterLines="0" w:line="360" w:lineRule="auto"/>
              <w:ind w:right="0" w:firstLine="48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w:t>
            </w:r>
            <w:r>
              <w:rPr>
                <w:rFonts w:hint="eastAsia" w:cs="Times New Roman"/>
                <w:color w:val="auto"/>
                <w:sz w:val="24"/>
                <w:szCs w:val="24"/>
                <w:highlight w:val="none"/>
                <w:lang w:val="en-US" w:eastAsia="zh-CN"/>
              </w:rPr>
              <w:t>没有生产废水；初期雨水收集“沉淀+过滤”处理，后由厂区现有废水排放口（DW001）排入园区污水管网，纳入湾坞西污水处理厂进一步处理；</w:t>
            </w:r>
            <w:r>
              <w:rPr>
                <w:rFonts w:hint="default" w:ascii="Times New Roman" w:hAnsi="Times New Roman" w:cs="Times New Roman"/>
                <w:color w:val="auto"/>
                <w:sz w:val="24"/>
                <w:szCs w:val="24"/>
                <w:highlight w:val="none"/>
                <w:lang w:val="en-US" w:eastAsia="zh-CN"/>
              </w:rPr>
              <w:t>职工由现有工程调配，不新增生活污水</w:t>
            </w:r>
            <w:r>
              <w:rPr>
                <w:rFonts w:hint="eastAsia" w:cs="Times New Roman"/>
                <w:color w:val="auto"/>
                <w:sz w:val="24"/>
                <w:szCs w:val="24"/>
                <w:highlight w:val="none"/>
                <w:lang w:val="en-US" w:eastAsia="zh-CN"/>
              </w:rPr>
              <w:t>，现有生活污水由化粪池预处理，后由厂区现有废水排放口（DW001）排入园区污水管网，纳入湾坞西污水处理厂进一步处理</w:t>
            </w:r>
            <w:r>
              <w:rPr>
                <w:rFonts w:hint="eastAsia" w:ascii="Times New Roman" w:hAnsi="Times New Roman" w:cs="Times New Roman"/>
                <w:color w:val="auto"/>
                <w:sz w:val="24"/>
                <w:szCs w:val="24"/>
                <w:highlight w:val="none"/>
                <w:lang w:val="en-US" w:eastAsia="zh-CN"/>
              </w:rPr>
              <w:t>。本次验收在</w:t>
            </w:r>
            <w:r>
              <w:rPr>
                <w:rFonts w:hint="eastAsia" w:cs="Times New Roman"/>
                <w:color w:val="auto"/>
                <w:sz w:val="24"/>
                <w:szCs w:val="24"/>
                <w:highlight w:val="none"/>
                <w:lang w:val="en-US" w:eastAsia="zh-CN"/>
              </w:rPr>
              <w:t>厂区现有废水排放口（DW001）</w:t>
            </w:r>
            <w:r>
              <w:rPr>
                <w:rFonts w:hint="eastAsia" w:ascii="Times New Roman" w:hAnsi="Times New Roman" w:cs="Times New Roman"/>
                <w:color w:val="auto"/>
                <w:sz w:val="24"/>
                <w:szCs w:val="24"/>
                <w:highlight w:val="none"/>
                <w:lang w:val="en-US" w:eastAsia="zh-CN"/>
              </w:rPr>
              <w:t>取样。</w:t>
            </w:r>
            <w:r>
              <w:rPr>
                <w:rFonts w:hint="default" w:ascii="Times New Roman" w:hAnsi="Times New Roman" w:cs="Times New Roman"/>
                <w:color w:val="auto"/>
                <w:sz w:val="24"/>
                <w:szCs w:val="24"/>
                <w:highlight w:val="none"/>
                <w:lang w:eastAsia="zh-CN"/>
              </w:rPr>
              <w:t>废</w:t>
            </w:r>
            <w:r>
              <w:rPr>
                <w:rFonts w:hint="default" w:ascii="Times New Roman" w:hAnsi="Times New Roman" w:cs="Times New Roman"/>
                <w:color w:val="auto"/>
                <w:sz w:val="24"/>
                <w:szCs w:val="24"/>
                <w:highlight w:val="none"/>
                <w:lang w:val="en-US" w:eastAsia="zh-CN"/>
              </w:rPr>
              <w:t>水</w:t>
            </w:r>
            <w:r>
              <w:rPr>
                <w:rFonts w:hint="default" w:ascii="Times New Roman" w:hAnsi="Times New Roman" w:cs="Times New Roman"/>
                <w:color w:val="auto"/>
                <w:sz w:val="24"/>
                <w:szCs w:val="24"/>
                <w:highlight w:val="none"/>
              </w:rPr>
              <w:t>监测因子、点位、频次见表</w:t>
            </w:r>
            <w:r>
              <w:rPr>
                <w:rFonts w:hint="default" w:ascii="Times New Roman" w:hAnsi="Times New Roman" w:cs="Times New Roman"/>
                <w:color w:val="auto"/>
                <w:sz w:val="24"/>
                <w:szCs w:val="24"/>
                <w:highlight w:val="none"/>
                <w:lang w:val="en-US" w:eastAsia="zh-CN"/>
              </w:rPr>
              <w:t>6.2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监测点位见附图</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w:t>
            </w: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highlight w:val="none"/>
                <w:lang w:val="en-US" w:eastAsia="zh-CN"/>
              </w:rPr>
            </w:pPr>
            <w:r>
              <w:rPr>
                <w:rFonts w:hint="default" w:ascii="Times New Roman" w:hAnsi="Times New Roman" w:cs="宋体"/>
                <w:color w:val="auto"/>
                <w:highlight w:val="none"/>
                <w:lang w:val="en-US" w:eastAsia="zh-CN"/>
              </w:rPr>
              <w:t>表6.2-1  废水监测因子、点位及频次一览表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477"/>
              <w:gridCol w:w="2688"/>
              <w:gridCol w:w="1524"/>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编号</w:t>
                  </w:r>
                </w:p>
              </w:tc>
              <w:tc>
                <w:tcPr>
                  <w:tcW w:w="8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eastAsia="zh-CN"/>
                    </w:rPr>
                    <w:t>污染源</w:t>
                  </w:r>
                </w:p>
              </w:tc>
              <w:tc>
                <w:tcPr>
                  <w:tcW w:w="1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eastAsia="zh-CN"/>
                    </w:rPr>
                    <w:t>监测项目</w:t>
                  </w:r>
                </w:p>
              </w:tc>
              <w:tc>
                <w:tcPr>
                  <w:tcW w:w="8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eastAsia="zh-CN"/>
                    </w:rPr>
                    <w:t>监测点位</w:t>
                  </w:r>
                </w:p>
              </w:tc>
              <w:tc>
                <w:tcPr>
                  <w:tcW w:w="9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blHeader/>
                <w:jc w:val="center"/>
              </w:trPr>
              <w:tc>
                <w:tcPr>
                  <w:tcW w:w="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PingFang SC" w:cs="Times New Roman"/>
                      <w:b w:val="0"/>
                      <w:bCs w:val="0"/>
                      <w:color w:val="auto"/>
                      <w:sz w:val="21"/>
                      <w:szCs w:val="21"/>
                      <w:highlight w:val="none"/>
                      <w:vertAlign w:val="baseline"/>
                      <w:lang w:val="en-US" w:eastAsia="zh-CN"/>
                    </w:rPr>
                  </w:pPr>
                  <w:r>
                    <w:rPr>
                      <w:rStyle w:val="32"/>
                      <w:rFonts w:hint="default" w:ascii="Times New Roman" w:hAnsi="Times New Roman" w:eastAsia="PingFang SC" w:cs="Times New Roman"/>
                      <w:b w:val="0"/>
                      <w:bCs w:val="0"/>
                      <w:i w:val="0"/>
                      <w:caps w:val="0"/>
                      <w:color w:val="auto"/>
                      <w:spacing w:val="0"/>
                      <w:sz w:val="21"/>
                      <w:szCs w:val="21"/>
                      <w:highlight w:val="none"/>
                      <w:shd w:val="clear" w:color="auto" w:fill="FFFFFF"/>
                    </w:rPr>
                    <w:t>★</w:t>
                  </w:r>
                  <w:r>
                    <w:rPr>
                      <w:rStyle w:val="32"/>
                      <w:rFonts w:hint="eastAsia" w:ascii="Times New Roman" w:hAnsi="Times New Roman" w:eastAsia="PingFang SC" w:cs="Times New Roman"/>
                      <w:b w:val="0"/>
                      <w:bCs w:val="0"/>
                      <w:i w:val="0"/>
                      <w:caps w:val="0"/>
                      <w:color w:val="auto"/>
                      <w:spacing w:val="0"/>
                      <w:sz w:val="21"/>
                      <w:szCs w:val="21"/>
                      <w:highlight w:val="none"/>
                      <w:shd w:val="clear" w:color="auto" w:fill="FFFFFF"/>
                      <w:lang w:val="en-US" w:eastAsia="zh-CN"/>
                    </w:rPr>
                    <w:t>DW001</w:t>
                  </w:r>
                </w:p>
              </w:tc>
              <w:tc>
                <w:tcPr>
                  <w:tcW w:w="815" w:type="pct"/>
                  <w:noWrap w:val="0"/>
                  <w:vAlign w:val="center"/>
                </w:tcPr>
                <w:p>
                  <w:pPr>
                    <w:widowControl/>
                    <w:snapToGrid w:val="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初期雨水、生活污水</w:t>
                  </w:r>
                </w:p>
              </w:tc>
              <w:tc>
                <w:tcPr>
                  <w:tcW w:w="1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pH、悬浮物、COD</w:t>
                  </w: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r>
                    <w:rPr>
                      <w:rFonts w:hint="default"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cs="Times New Roman"/>
                      <w:b w:val="0"/>
                      <w:bCs/>
                      <w:color w:val="auto"/>
                      <w:sz w:val="21"/>
                      <w:szCs w:val="21"/>
                      <w:highlight w:val="none"/>
                      <w:vertAlign w:val="baseline"/>
                      <w:lang w:val="en-US" w:eastAsia="zh-CN"/>
                    </w:rPr>
                    <w:t>氨氮</w:t>
                  </w:r>
                  <w:r>
                    <w:rPr>
                      <w:rFonts w:hint="eastAsia" w:cs="Times New Roman"/>
                      <w:b w:val="0"/>
                      <w:bCs/>
                      <w:color w:val="auto"/>
                      <w:sz w:val="21"/>
                      <w:szCs w:val="21"/>
                      <w:highlight w:val="none"/>
                      <w:vertAlign w:val="baseline"/>
                      <w:lang w:val="en-US" w:eastAsia="zh-CN"/>
                    </w:rPr>
                    <w:t>、总磷</w:t>
                  </w:r>
                </w:p>
              </w:tc>
              <w:tc>
                <w:tcPr>
                  <w:tcW w:w="8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lang w:val="en-US" w:eastAsia="zh-CN"/>
                    </w:rPr>
                    <w:t>废水排放口</w:t>
                  </w:r>
                </w:p>
              </w:tc>
              <w:tc>
                <w:tcPr>
                  <w:tcW w:w="9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rPr>
                    <w:t>每天</w:t>
                  </w:r>
                  <w:r>
                    <w:rPr>
                      <w:rFonts w:hint="default" w:ascii="Times New Roman" w:hAnsi="Times New Roman" w:cs="Times New Roman"/>
                      <w:b w:val="0"/>
                      <w:bCs/>
                      <w:color w:val="auto"/>
                      <w:sz w:val="21"/>
                      <w:szCs w:val="21"/>
                      <w:highlight w:val="none"/>
                      <w:vertAlign w:val="baseline"/>
                      <w:lang w:val="en-US" w:eastAsia="zh-CN"/>
                    </w:rPr>
                    <w:t>4</w:t>
                  </w:r>
                  <w:r>
                    <w:rPr>
                      <w:rFonts w:hint="default" w:ascii="Times New Roman" w:hAnsi="Times New Roman" w:eastAsia="宋体" w:cs="Times New Roman"/>
                      <w:b w:val="0"/>
                      <w:bCs/>
                      <w:color w:val="auto"/>
                      <w:sz w:val="21"/>
                      <w:szCs w:val="21"/>
                      <w:highlight w:val="none"/>
                      <w:vertAlign w:val="baseline"/>
                    </w:rPr>
                    <w:t>次，共</w:t>
                  </w:r>
                  <w:r>
                    <w:rPr>
                      <w:rFonts w:hint="default" w:ascii="Times New Roman" w:hAnsi="Times New Roman" w:eastAsia="宋体" w:cs="Times New Roman"/>
                      <w:b w:val="0"/>
                      <w:bCs/>
                      <w:color w:val="auto"/>
                      <w:sz w:val="21"/>
                      <w:szCs w:val="21"/>
                      <w:highlight w:val="none"/>
                      <w:vertAlign w:val="baseline"/>
                      <w:lang w:val="en-US" w:eastAsia="zh-CN"/>
                    </w:rPr>
                    <w:t>2</w:t>
                  </w:r>
                  <w:r>
                    <w:rPr>
                      <w:rFonts w:hint="default" w:ascii="Times New Roman" w:hAnsi="Times New Roman" w:eastAsia="宋体" w:cs="Times New Roman"/>
                      <w:b w:val="0"/>
                      <w:bCs/>
                      <w:color w:val="auto"/>
                      <w:sz w:val="21"/>
                      <w:szCs w:val="21"/>
                      <w:highlight w:val="none"/>
                      <w:vertAlign w:val="baseline"/>
                    </w:rPr>
                    <w:t>天</w:t>
                  </w:r>
                </w:p>
              </w:tc>
            </w:tr>
          </w:tbl>
          <w:p>
            <w:pPr>
              <w:pStyle w:val="6"/>
              <w:rPr>
                <w:rFonts w:hint="default" w:ascii="Times New Roman" w:hAnsi="Times New Roman" w:cs="Times New Roman"/>
                <w:color w:val="auto"/>
                <w:highlight w:val="none"/>
                <w:lang w:val="en-US" w:eastAsia="zh-CN"/>
              </w:rPr>
            </w:pPr>
            <w:bookmarkStart w:id="74" w:name="_Toc13872"/>
            <w:bookmarkStart w:id="75" w:name="_Toc21699"/>
            <w:r>
              <w:rPr>
                <w:rFonts w:hint="default" w:ascii="Times New Roman" w:hAnsi="Times New Roman" w:cs="Times New Roman"/>
                <w:color w:val="auto"/>
                <w:highlight w:val="none"/>
                <w:lang w:val="en-US" w:eastAsia="zh-CN"/>
              </w:rPr>
              <w:t>6.3噪声</w:t>
            </w:r>
            <w:bookmarkEnd w:id="74"/>
            <w:bookmarkEnd w:id="75"/>
          </w:p>
          <w:p>
            <w:pPr>
              <w:spacing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本次验收</w:t>
            </w:r>
            <w:r>
              <w:rPr>
                <w:rFonts w:hint="default" w:ascii="Times New Roman" w:hAnsi="Times New Roman" w:cs="Times New Roman"/>
                <w:color w:val="auto"/>
                <w:sz w:val="24"/>
                <w:szCs w:val="24"/>
                <w:highlight w:val="none"/>
              </w:rPr>
              <w:t>设</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个厂界噪声监测点，监测昼间、夜间的等效A声级L</w:t>
            </w:r>
            <w:r>
              <w:rPr>
                <w:rFonts w:hint="default" w:ascii="Times New Roman" w:hAnsi="Times New Roman" w:cs="Times New Roman"/>
                <w:color w:val="auto"/>
                <w:sz w:val="24"/>
                <w:szCs w:val="24"/>
                <w:highlight w:val="none"/>
                <w:vertAlign w:val="subscript"/>
              </w:rPr>
              <w:t>Aeq</w:t>
            </w:r>
            <w:r>
              <w:rPr>
                <w:rFonts w:hint="default" w:ascii="Times New Roman" w:hAnsi="Times New Roman" w:cs="Times New Roman"/>
                <w:color w:val="auto"/>
                <w:sz w:val="24"/>
                <w:szCs w:val="24"/>
                <w:highlight w:val="none"/>
              </w:rPr>
              <w:t>值，昼间和夜间各监测</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次，监测2天，监测点位见</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6.3-1和</w:t>
            </w:r>
            <w:r>
              <w:rPr>
                <w:rFonts w:hint="default" w:ascii="Times New Roman" w:hAnsi="Times New Roman" w:cs="Times New Roman"/>
                <w:color w:val="auto"/>
                <w:sz w:val="24"/>
                <w:szCs w:val="24"/>
                <w:highlight w:val="none"/>
                <w:lang w:eastAsia="zh-CN"/>
              </w:rPr>
              <w:t>附图</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pPr>
              <w:pStyle w:val="9"/>
              <w:keepNext/>
              <w:keepLines/>
              <w:pageBreakBefore w:val="0"/>
              <w:widowControl w:val="0"/>
              <w:kinsoku/>
              <w:wordWrap/>
              <w:overflowPunct/>
              <w:topLinePunct w:val="0"/>
              <w:autoSpaceDE/>
              <w:autoSpaceDN/>
              <w:bidi w:val="0"/>
              <w:adjustRightInd w:val="0"/>
              <w:snapToGrid w:val="0"/>
              <w:spacing w:before="96" w:beforeLines="30" w:after="96" w:afterLines="30"/>
              <w:textAlignment w:val="auto"/>
              <w:rPr>
                <w:rFonts w:hint="default" w:ascii="Times New Roman" w:hAnsi="Times New Roman" w:cs="宋体"/>
                <w:color w:val="auto"/>
                <w:lang w:val="en-US" w:eastAsia="zh-CN"/>
              </w:rPr>
            </w:pPr>
            <w:r>
              <w:rPr>
                <w:rFonts w:hint="default" w:ascii="Times New Roman" w:hAnsi="Times New Roman" w:cs="宋体"/>
                <w:color w:val="auto"/>
                <w:lang w:val="en-US" w:eastAsia="zh-CN"/>
              </w:rPr>
              <w:t>表6.3-1  厂界噪声监测因子、点位及频次一览表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1"/>
              <w:gridCol w:w="304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1" w:type="dxa"/>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监测点位</w:t>
                  </w:r>
                </w:p>
              </w:tc>
              <w:tc>
                <w:tcPr>
                  <w:tcW w:w="3040" w:type="dxa"/>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eastAsia="zh-CN"/>
                    </w:rPr>
                    <w:t>监测项目</w:t>
                  </w:r>
                </w:p>
              </w:tc>
              <w:tc>
                <w:tcPr>
                  <w:tcW w:w="3021" w:type="dxa"/>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1" w:type="dxa"/>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pacing w:val="0"/>
                      <w:w w:val="100"/>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1</w:t>
                  </w:r>
                  <w:r>
                    <w:rPr>
                      <w:rFonts w:hint="eastAsia" w:ascii="Times New Roman" w:hAnsi="Times New Roman" w:eastAsia="宋体" w:cs="Times New Roman"/>
                      <w:snapToGrid/>
                      <w:color w:val="auto"/>
                      <w:kern w:val="2"/>
                      <w:sz w:val="21"/>
                      <w:szCs w:val="21"/>
                      <w:highlight w:val="none"/>
                      <w:lang w:val="en-US" w:eastAsia="zh-CN" w:bidi="ar-SA"/>
                    </w:rPr>
                    <w:t>北厂界外</w:t>
                  </w:r>
                  <w:r>
                    <w:rPr>
                      <w:rFonts w:hint="default" w:ascii="Times New Roman" w:hAnsi="Times New Roman" w:eastAsia="宋体" w:cs="Times New Roman"/>
                      <w:snapToGrid/>
                      <w:color w:val="auto"/>
                      <w:kern w:val="2"/>
                      <w:sz w:val="21"/>
                      <w:szCs w:val="21"/>
                      <w:highlight w:val="none"/>
                      <w:lang w:val="en-US" w:eastAsia="zh-CN" w:bidi="ar-SA"/>
                    </w:rPr>
                    <w:t>1</w:t>
                  </w:r>
                  <w:r>
                    <w:rPr>
                      <w:rFonts w:hint="eastAsia" w:ascii="Times New Roman" w:hAnsi="Times New Roman" w:eastAsia="宋体" w:cs="Times New Roman"/>
                      <w:snapToGrid/>
                      <w:color w:val="auto"/>
                      <w:kern w:val="2"/>
                      <w:sz w:val="21"/>
                      <w:szCs w:val="21"/>
                      <w:highlight w:val="none"/>
                      <w:lang w:val="en-US" w:eastAsia="zh-CN" w:bidi="ar-SA"/>
                    </w:rPr>
                    <w:t>m</w:t>
                  </w:r>
                </w:p>
              </w:tc>
              <w:tc>
                <w:tcPr>
                  <w:tcW w:w="3040" w:type="dxa"/>
                  <w:vMerge w:val="restar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昼、夜间噪声</w:t>
                  </w:r>
                </w:p>
              </w:tc>
              <w:tc>
                <w:tcPr>
                  <w:tcW w:w="3021" w:type="dxa"/>
                  <w:vMerge w:val="restar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cs="Times New Roman"/>
                      <w:b w:val="0"/>
                      <w:bCs w:val="0"/>
                      <w:color w:val="auto"/>
                      <w:spacing w:val="0"/>
                      <w:w w:val="100"/>
                      <w:sz w:val="21"/>
                      <w:szCs w:val="21"/>
                      <w:highlight w:val="none"/>
                      <w:vertAlign w:val="baseline"/>
                      <w:lang w:val="en-US" w:eastAsia="zh-CN"/>
                    </w:rPr>
                    <w:t>监测2天，昼夜各1次</w:t>
                  </w:r>
                  <w:r>
                    <w:rPr>
                      <w:rFonts w:hint="default" w:ascii="Times New Roman" w:hAnsi="Times New Roman" w:eastAsia="宋体" w:cs="Times New Roman"/>
                      <w:b w:val="0"/>
                      <w:bCs w:val="0"/>
                      <w:color w:val="auto"/>
                      <w:spacing w:val="0"/>
                      <w:w w:val="100"/>
                      <w:sz w:val="21"/>
                      <w:szCs w:val="21"/>
                      <w:highlight w:val="none"/>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cs="Times New Roman"/>
                      <w:b w:val="0"/>
                      <w:bCs w:val="0"/>
                      <w:color w:val="auto"/>
                      <w:spacing w:val="0"/>
                      <w:w w:val="100"/>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2</w:t>
                  </w:r>
                  <w:r>
                    <w:rPr>
                      <w:rFonts w:hint="eastAsia" w:ascii="Times New Roman" w:hAnsi="Times New Roman" w:eastAsia="宋体" w:cs="Times New Roman"/>
                      <w:snapToGrid/>
                      <w:color w:val="auto"/>
                      <w:kern w:val="2"/>
                      <w:sz w:val="21"/>
                      <w:szCs w:val="21"/>
                      <w:highlight w:val="none"/>
                      <w:lang w:val="en-US" w:eastAsia="zh-CN" w:bidi="ar-SA"/>
                    </w:rPr>
                    <w:t>东厂界外</w:t>
                  </w:r>
                  <w:r>
                    <w:rPr>
                      <w:rFonts w:hint="default" w:ascii="Times New Roman" w:hAnsi="Times New Roman" w:eastAsia="宋体" w:cs="Times New Roman"/>
                      <w:snapToGrid/>
                      <w:color w:val="auto"/>
                      <w:kern w:val="2"/>
                      <w:sz w:val="21"/>
                      <w:szCs w:val="21"/>
                      <w:highlight w:val="none"/>
                      <w:lang w:val="en-US" w:eastAsia="zh-CN" w:bidi="ar-SA"/>
                    </w:rPr>
                    <w:t>1</w:t>
                  </w:r>
                  <w:r>
                    <w:rPr>
                      <w:rFonts w:hint="eastAsia" w:ascii="Times New Roman" w:hAnsi="Times New Roman" w:eastAsia="宋体" w:cs="Times New Roman"/>
                      <w:snapToGrid/>
                      <w:color w:val="auto"/>
                      <w:kern w:val="2"/>
                      <w:sz w:val="21"/>
                      <w:szCs w:val="21"/>
                      <w:highlight w:val="none"/>
                      <w:lang w:val="en-US" w:eastAsia="zh-CN" w:bidi="ar-SA"/>
                    </w:rPr>
                    <w:t>m</w:t>
                  </w:r>
                </w:p>
              </w:tc>
              <w:tc>
                <w:tcPr>
                  <w:tcW w:w="3040" w:type="dxa"/>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p>
              </w:tc>
              <w:tc>
                <w:tcPr>
                  <w:tcW w:w="3021" w:type="dxa"/>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cs="Times New Roman"/>
                      <w:b w:val="0"/>
                      <w:bCs w:val="0"/>
                      <w:color w:val="auto"/>
                      <w:spacing w:val="0"/>
                      <w:w w:val="100"/>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3</w:t>
                  </w:r>
                  <w:r>
                    <w:rPr>
                      <w:rFonts w:hint="eastAsia" w:ascii="Times New Roman" w:hAnsi="Times New Roman" w:eastAsia="宋体" w:cs="Times New Roman"/>
                      <w:snapToGrid/>
                      <w:color w:val="auto"/>
                      <w:kern w:val="2"/>
                      <w:sz w:val="21"/>
                      <w:szCs w:val="21"/>
                      <w:highlight w:val="none"/>
                      <w:lang w:val="en-US" w:eastAsia="zh-CN" w:bidi="ar-SA"/>
                    </w:rPr>
                    <w:t>西厂界外</w:t>
                  </w:r>
                  <w:r>
                    <w:rPr>
                      <w:rFonts w:hint="default" w:ascii="Times New Roman" w:hAnsi="Times New Roman" w:eastAsia="宋体" w:cs="Times New Roman"/>
                      <w:snapToGrid/>
                      <w:color w:val="auto"/>
                      <w:kern w:val="2"/>
                      <w:sz w:val="21"/>
                      <w:szCs w:val="21"/>
                      <w:highlight w:val="none"/>
                      <w:lang w:val="en-US" w:eastAsia="zh-CN" w:bidi="ar-SA"/>
                    </w:rPr>
                    <w:t>1</w:t>
                  </w:r>
                  <w:r>
                    <w:rPr>
                      <w:rFonts w:hint="eastAsia" w:ascii="Times New Roman" w:hAnsi="Times New Roman" w:eastAsia="宋体" w:cs="Times New Roman"/>
                      <w:snapToGrid/>
                      <w:color w:val="auto"/>
                      <w:kern w:val="2"/>
                      <w:sz w:val="21"/>
                      <w:szCs w:val="21"/>
                      <w:highlight w:val="none"/>
                      <w:lang w:val="en-US" w:eastAsia="zh-CN" w:bidi="ar-SA"/>
                    </w:rPr>
                    <w:t>m</w:t>
                  </w:r>
                </w:p>
              </w:tc>
              <w:tc>
                <w:tcPr>
                  <w:tcW w:w="3040" w:type="dxa"/>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p>
              </w:tc>
              <w:tc>
                <w:tcPr>
                  <w:tcW w:w="3021" w:type="dxa"/>
                  <w:vMerge w:val="continue"/>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p>
              </w:tc>
            </w:tr>
          </w:tbl>
          <w:p>
            <w:pPr>
              <w:spacing w:line="360" w:lineRule="auto"/>
              <w:ind w:firstLine="480" w:firstLineChars="200"/>
              <w:jc w:val="both"/>
              <w:rPr>
                <w:rFonts w:hint="default" w:ascii="Times New Roman" w:hAnsi="Times New Roman" w:cs="Times New Roman"/>
                <w:color w:val="auto"/>
                <w:sz w:val="24"/>
                <w:szCs w:val="24"/>
                <w:highlight w:val="none"/>
                <w:lang w:val="en-US" w:eastAsia="zh-CN"/>
              </w:rPr>
            </w:pPr>
          </w:p>
          <w:p>
            <w:pPr>
              <w:spacing w:line="360" w:lineRule="auto"/>
              <w:jc w:val="center"/>
              <w:rPr>
                <w:rFonts w:hint="default" w:ascii="Times New Roman" w:hAnsi="Times New Roman" w:cs="Times New Roman"/>
                <w:color w:val="auto"/>
                <w:sz w:val="24"/>
                <w:szCs w:val="24"/>
                <w:highlight w:val="none"/>
                <w:lang w:eastAsia="zh-CN"/>
              </w:rPr>
            </w:pPr>
          </w:p>
          <w:p>
            <w:pPr>
              <w:pStyle w:val="13"/>
              <w:rPr>
                <w:rFonts w:hint="default" w:ascii="Times New Roman" w:hAnsi="Times New Roman" w:cs="Times New Roman"/>
                <w:color w:val="auto"/>
                <w:sz w:val="24"/>
                <w:szCs w:val="24"/>
                <w:highlight w:val="none"/>
                <w:lang w:val="en-US" w:eastAsia="zh-CN"/>
              </w:rPr>
            </w:pPr>
          </w:p>
          <w:p>
            <w:pPr>
              <w:rPr>
                <w:rFonts w:hint="default"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63" w:beforeLines="20" w:line="360" w:lineRule="auto"/>
              <w:ind w:left="0" w:leftChars="0" w:right="0" w:rightChars="0" w:firstLine="420" w:firstLineChars="200"/>
              <w:jc w:val="both"/>
              <w:textAlignment w:val="auto"/>
              <w:outlineLvl w:val="9"/>
              <w:rPr>
                <w:rFonts w:hint="default" w:ascii="Times New Roman" w:hAnsi="Times New Roman" w:eastAsia="宋体" w:cs="Times New Roman"/>
                <w:color w:val="000000"/>
                <w:sz w:val="21"/>
                <w:szCs w:val="21"/>
                <w:highlight w:val="none"/>
              </w:rPr>
            </w:pPr>
          </w:p>
        </w:tc>
      </w:tr>
    </w:tbl>
    <w:p>
      <w:pPr>
        <w:bidi w:val="0"/>
        <w:rPr>
          <w:rFonts w:hint="default" w:ascii="Times New Roman" w:hAnsi="Times New Roman" w:cs="Times New Roman"/>
          <w:highlight w:val="none"/>
          <w:lang w:eastAsia="zh-CN"/>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224" w:beforeLines="70" w:after="224" w:afterLines="70"/>
        <w:textAlignment w:val="auto"/>
        <w:rPr>
          <w:rFonts w:hint="default" w:ascii="Times New Roman" w:hAnsi="Times New Roman" w:cs="Times New Roman"/>
          <w:highlight w:val="none"/>
          <w:lang w:eastAsia="zh-CN"/>
        </w:rPr>
      </w:pPr>
      <w:bookmarkStart w:id="76" w:name="_Toc22395"/>
      <w:bookmarkStart w:id="77" w:name="_Toc31094"/>
      <w:r>
        <w:rPr>
          <w:rFonts w:hint="default" w:ascii="Times New Roman" w:hAnsi="Times New Roman" w:cs="Times New Roman"/>
          <w:highlight w:val="none"/>
          <w:lang w:eastAsia="zh-CN"/>
        </w:rPr>
        <w:t>表七</w:t>
      </w:r>
      <w:r>
        <w:rPr>
          <w:rFonts w:hint="default" w:ascii="Times New Roman" w:hAnsi="Times New Roman" w:cs="Times New Roman"/>
          <w:highlight w:val="none"/>
          <w:lang w:val="en-US" w:eastAsia="zh-CN"/>
        </w:rPr>
        <w:t xml:space="preserve">  验收监测期间生产工况及验收监测结果</w:t>
      </w:r>
      <w:bookmarkEnd w:id="76"/>
      <w:bookmarkEnd w:id="77"/>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88" w:type="dxa"/>
            <w:noWrap w:val="0"/>
            <w:vAlign w:val="center"/>
          </w:tcPr>
          <w:p>
            <w:pPr>
              <w:pStyle w:val="6"/>
              <w:keepNext/>
              <w:keepLines w:val="0"/>
              <w:pageBreakBefore w:val="0"/>
              <w:widowControl w:val="0"/>
              <w:kinsoku/>
              <w:wordWrap/>
              <w:overflowPunct/>
              <w:topLinePunct w:val="0"/>
              <w:autoSpaceDE/>
              <w:autoSpaceDN/>
              <w:bidi w:val="0"/>
              <w:adjustRightInd/>
              <w:snapToGrid/>
              <w:spacing w:before="160" w:beforeLines="50" w:after="160" w:afterLines="50" w:line="240" w:lineRule="auto"/>
              <w:textAlignment w:val="auto"/>
              <w:rPr>
                <w:rFonts w:hint="default" w:ascii="Times New Roman" w:hAnsi="Times New Roman" w:cs="Times New Roman"/>
                <w:highlight w:val="none"/>
                <w:lang w:val="en-US" w:eastAsia="zh-CN"/>
              </w:rPr>
            </w:pPr>
            <w:bookmarkStart w:id="78" w:name="_Toc25275"/>
            <w:bookmarkStart w:id="79" w:name="_Toc21048"/>
            <w:bookmarkStart w:id="80" w:name="_Toc32602"/>
            <w:bookmarkStart w:id="81" w:name="_Toc3650"/>
            <w:bookmarkStart w:id="82" w:name="_Toc3117"/>
            <w:r>
              <w:rPr>
                <w:rFonts w:hint="default" w:ascii="Times New Roman" w:hAnsi="Times New Roman" w:cs="Times New Roman"/>
                <w:highlight w:val="none"/>
                <w:lang w:val="en-US" w:eastAsia="zh-CN"/>
              </w:rPr>
              <w:t>7.1验收监测期间生产工况</w:t>
            </w:r>
            <w:bookmarkEnd w:id="78"/>
            <w:bookmarkEnd w:id="79"/>
            <w:bookmarkEnd w:id="80"/>
            <w:bookmarkEnd w:id="81"/>
            <w:bookmarkEnd w:id="82"/>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sz w:val="24"/>
                <w:szCs w:val="24"/>
                <w:highlight w:val="none"/>
                <w:lang w:val="en-US" w:eastAsia="zh-CN"/>
              </w:rPr>
              <w:t>根据工况说</w:t>
            </w:r>
            <w:r>
              <w:rPr>
                <w:rFonts w:hint="default" w:ascii="Times New Roman" w:hAnsi="Times New Roman" w:cs="Times New Roman"/>
                <w:color w:val="auto"/>
                <w:sz w:val="24"/>
                <w:szCs w:val="24"/>
                <w:highlight w:val="none"/>
                <w:lang w:val="en-US" w:eastAsia="zh-CN"/>
              </w:rPr>
              <w:t>明（附件</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项目验收监测期间生产工况详见表7.1-1。</w:t>
            </w:r>
          </w:p>
          <w:p>
            <w:pPr>
              <w:pStyle w:val="9"/>
              <w:keepNext/>
              <w:keepLines/>
              <w:pageBreakBefore w:val="0"/>
              <w:widowControl w:val="0"/>
              <w:kinsoku/>
              <w:wordWrap/>
              <w:overflowPunct/>
              <w:topLinePunct w:val="0"/>
              <w:autoSpaceDE/>
              <w:autoSpaceDN/>
              <w:bidi w:val="0"/>
              <w:adjustRightInd w:val="0"/>
              <w:snapToGrid w:val="0"/>
              <w:spacing w:before="96" w:beforeLines="30" w:after="65" w:afterLines="20"/>
              <w:textAlignment w:val="auto"/>
              <w:rPr>
                <w:rFonts w:hint="default" w:ascii="Times New Roman" w:hAnsi="Times New Roman" w:cs="宋体"/>
                <w:color w:val="auto"/>
                <w:highlight w:val="none"/>
                <w:lang w:val="en-US" w:eastAsia="zh-CN"/>
              </w:rPr>
            </w:pPr>
            <w:r>
              <w:rPr>
                <w:rFonts w:hint="default" w:ascii="Times New Roman" w:hAnsi="Times New Roman" w:cs="宋体"/>
                <w:color w:val="auto"/>
                <w:highlight w:val="none"/>
                <w:lang w:val="en-US" w:eastAsia="zh-CN"/>
              </w:rPr>
              <w:t>表</w:t>
            </w:r>
            <w:r>
              <w:rPr>
                <w:rFonts w:hint="eastAsia" w:ascii="Times New Roman" w:hAnsi="Times New Roman" w:cs="宋体"/>
                <w:color w:val="auto"/>
                <w:highlight w:val="none"/>
                <w:lang w:val="en-US" w:eastAsia="zh-CN"/>
              </w:rPr>
              <w:t>7.1</w:t>
            </w:r>
            <w:r>
              <w:rPr>
                <w:rFonts w:hint="default" w:ascii="Times New Roman" w:hAnsi="Times New Roman" w:cs="宋体"/>
                <w:color w:val="auto"/>
                <w:highlight w:val="none"/>
                <w:lang w:val="en-US" w:eastAsia="zh-CN"/>
              </w:rPr>
              <w:t>-1  验收监测期间生产工况一览表</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218"/>
              <w:gridCol w:w="1693"/>
              <w:gridCol w:w="1577"/>
              <w:gridCol w:w="1053"/>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eastAsia="zh-CN"/>
                    </w:rPr>
                  </w:pPr>
                  <w:r>
                    <w:rPr>
                      <w:rFonts w:hint="eastAsia" w:ascii="Times New Roman" w:hAnsi="Times New Roman" w:cs="Times New Roman"/>
                      <w:b w:val="0"/>
                      <w:bCs/>
                      <w:color w:val="auto"/>
                      <w:sz w:val="21"/>
                      <w:szCs w:val="21"/>
                      <w:highlight w:val="none"/>
                      <w:vertAlign w:val="baseline"/>
                      <w:lang w:val="en-US" w:eastAsia="zh-CN"/>
                    </w:rPr>
                    <w:t>日期</w:t>
                  </w:r>
                </w:p>
              </w:tc>
              <w:tc>
                <w:tcPr>
                  <w:tcW w:w="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钢渣类别</w:t>
                  </w:r>
                </w:p>
              </w:tc>
              <w:tc>
                <w:tcPr>
                  <w:tcW w:w="9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设计</w:t>
                  </w:r>
                  <w:r>
                    <w:rPr>
                      <w:rFonts w:hint="eastAsia" w:cs="Times New Roman"/>
                      <w:b w:val="0"/>
                      <w:bCs/>
                      <w:color w:val="auto"/>
                      <w:sz w:val="21"/>
                      <w:szCs w:val="21"/>
                      <w:highlight w:val="none"/>
                      <w:vertAlign w:val="baseline"/>
                      <w:lang w:val="en-US" w:eastAsia="zh-CN"/>
                    </w:rPr>
                    <w:t>处理</w:t>
                  </w:r>
                  <w:r>
                    <w:rPr>
                      <w:rFonts w:hint="eastAsia" w:ascii="Times New Roman" w:hAnsi="Times New Roman" w:cs="Times New Roman"/>
                      <w:b w:val="0"/>
                      <w:bCs/>
                      <w:color w:val="auto"/>
                      <w:sz w:val="21"/>
                      <w:szCs w:val="21"/>
                      <w:highlight w:val="none"/>
                      <w:vertAlign w:val="baseline"/>
                      <w:lang w:val="en-US" w:eastAsia="zh-CN"/>
                    </w:rPr>
                    <w:t>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r>
                    <w:rPr>
                      <w:rFonts w:hint="eastAsia" w:cs="Times New Roman"/>
                      <w:b w:val="0"/>
                      <w:bCs/>
                      <w:color w:val="auto"/>
                      <w:sz w:val="21"/>
                      <w:szCs w:val="21"/>
                      <w:highlight w:val="none"/>
                      <w:vertAlign w:val="baseline"/>
                      <w:lang w:val="en-US" w:eastAsia="zh-CN"/>
                    </w:rPr>
                    <w:t>t</w:t>
                  </w:r>
                  <w:r>
                    <w:rPr>
                      <w:rFonts w:hint="eastAsia" w:ascii="Times New Roman" w:hAnsi="Times New Roman" w:cs="Times New Roman"/>
                      <w:b w:val="0"/>
                      <w:bCs/>
                      <w:color w:val="auto"/>
                      <w:sz w:val="21"/>
                      <w:szCs w:val="21"/>
                      <w:highlight w:val="none"/>
                      <w:vertAlign w:val="baseline"/>
                      <w:lang w:val="en-US" w:eastAsia="zh-CN"/>
                    </w:rPr>
                    <w:t>/d）</w:t>
                  </w:r>
                </w:p>
              </w:tc>
              <w:tc>
                <w:tcPr>
                  <w:tcW w:w="8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实际</w:t>
                  </w:r>
                  <w:r>
                    <w:rPr>
                      <w:rFonts w:hint="eastAsia" w:cs="Times New Roman"/>
                      <w:b w:val="0"/>
                      <w:bCs/>
                      <w:color w:val="auto"/>
                      <w:sz w:val="21"/>
                      <w:szCs w:val="21"/>
                      <w:highlight w:val="none"/>
                      <w:vertAlign w:val="baseline"/>
                      <w:lang w:val="en-US" w:eastAsia="zh-CN"/>
                    </w:rPr>
                    <w:t>处理</w:t>
                  </w:r>
                  <w:r>
                    <w:rPr>
                      <w:rFonts w:hint="eastAsia" w:ascii="Times New Roman" w:hAnsi="Times New Roman" w:eastAsia="宋体" w:cs="Times New Roman"/>
                      <w:b w:val="0"/>
                      <w:bCs/>
                      <w:color w:val="auto"/>
                      <w:sz w:val="21"/>
                      <w:szCs w:val="21"/>
                      <w:highlight w:val="none"/>
                      <w:vertAlign w:val="baseline"/>
                      <w:lang w:val="en-US" w:eastAsia="zh-CN"/>
                    </w:rPr>
                    <w:t>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r>
                    <w:rPr>
                      <w:rFonts w:hint="eastAsia" w:cs="Times New Roman"/>
                      <w:b w:val="0"/>
                      <w:bCs/>
                      <w:color w:val="auto"/>
                      <w:sz w:val="21"/>
                      <w:szCs w:val="21"/>
                      <w:highlight w:val="none"/>
                      <w:vertAlign w:val="baseline"/>
                      <w:lang w:val="en-US" w:eastAsia="zh-CN"/>
                    </w:rPr>
                    <w:t>t</w:t>
                  </w:r>
                  <w:r>
                    <w:rPr>
                      <w:rFonts w:hint="eastAsia" w:ascii="Times New Roman" w:hAnsi="Times New Roman" w:cs="Times New Roman"/>
                      <w:b w:val="0"/>
                      <w:bCs/>
                      <w:color w:val="auto"/>
                      <w:sz w:val="21"/>
                      <w:szCs w:val="21"/>
                      <w:highlight w:val="none"/>
                      <w:vertAlign w:val="baseline"/>
                      <w:lang w:val="en-US" w:eastAsia="zh-CN"/>
                    </w:rPr>
                    <w:t>/d）</w:t>
                  </w:r>
                </w:p>
              </w:tc>
              <w:tc>
                <w:tcPr>
                  <w:tcW w:w="5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工况</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12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0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PingFang SC"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2025.</w:t>
                  </w:r>
                  <w:r>
                    <w:rPr>
                      <w:rFonts w:hint="eastAsia" w:cs="Times New Roman"/>
                      <w:b w:val="0"/>
                      <w:bCs/>
                      <w:color w:val="auto"/>
                      <w:sz w:val="21"/>
                      <w:szCs w:val="21"/>
                      <w:highlight w:val="none"/>
                      <w:vertAlign w:val="baseline"/>
                      <w:lang w:val="en-US" w:eastAsia="zh-CN"/>
                    </w:rPr>
                    <w:t>10</w:t>
                  </w:r>
                  <w:r>
                    <w:rPr>
                      <w:rFonts w:hint="eastAsia" w:ascii="Times New Roman" w:hAnsi="Times New Roman" w:eastAsia="宋体" w:cs="Times New Roman"/>
                      <w:b w:val="0"/>
                      <w:bCs/>
                      <w:color w:val="auto"/>
                      <w:sz w:val="21"/>
                      <w:szCs w:val="21"/>
                      <w:highlight w:val="none"/>
                      <w:vertAlign w:val="baseline"/>
                      <w:lang w:val="en-US" w:eastAsia="zh-CN"/>
                    </w:rPr>
                    <w:t>.</w:t>
                  </w:r>
                  <w:r>
                    <w:rPr>
                      <w:rFonts w:hint="eastAsia" w:cs="Times New Roman"/>
                      <w:b w:val="0"/>
                      <w:bCs/>
                      <w:color w:val="auto"/>
                      <w:sz w:val="21"/>
                      <w:szCs w:val="21"/>
                      <w:highlight w:val="none"/>
                      <w:vertAlign w:val="baseline"/>
                      <w:lang w:val="en-US" w:eastAsia="zh-CN"/>
                    </w:rPr>
                    <w:t>16</w:t>
                  </w:r>
                </w:p>
              </w:tc>
              <w:tc>
                <w:tcPr>
                  <w:tcW w:w="672"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精炼渣</w:t>
                  </w:r>
                </w:p>
              </w:tc>
              <w:tc>
                <w:tcPr>
                  <w:tcW w:w="934"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p>
              </w:tc>
              <w:tc>
                <w:tcPr>
                  <w:tcW w:w="10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79</w:t>
                  </w:r>
                </w:p>
              </w:tc>
              <w:tc>
                <w:tcPr>
                  <w:tcW w:w="12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主体工程及环保设施运行稳定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0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PingFang SC" w:cs="Times New Roman"/>
                      <w:b w:val="0"/>
                      <w:bCs w:val="0"/>
                      <w:color w:val="auto"/>
                      <w:sz w:val="21"/>
                      <w:szCs w:val="21"/>
                      <w:highlight w:val="none"/>
                      <w:vertAlign w:val="baseline"/>
                      <w:lang w:val="en-US" w:eastAsia="zh-CN"/>
                    </w:rPr>
                  </w:pPr>
                </w:p>
              </w:tc>
              <w:tc>
                <w:tcPr>
                  <w:tcW w:w="672"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镍铁渣</w:t>
                  </w:r>
                </w:p>
              </w:tc>
              <w:tc>
                <w:tcPr>
                  <w:tcW w:w="934"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5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p>
              </w:tc>
              <w:tc>
                <w:tcPr>
                  <w:tcW w:w="10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76</w:t>
                  </w:r>
                </w:p>
              </w:tc>
              <w:tc>
                <w:tcPr>
                  <w:tcW w:w="123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0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PingFang SC"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2025.</w:t>
                  </w:r>
                  <w:r>
                    <w:rPr>
                      <w:rFonts w:hint="eastAsia" w:cs="Times New Roman"/>
                      <w:b w:val="0"/>
                      <w:bCs/>
                      <w:color w:val="auto"/>
                      <w:sz w:val="21"/>
                      <w:szCs w:val="21"/>
                      <w:highlight w:val="none"/>
                      <w:vertAlign w:val="baseline"/>
                      <w:lang w:val="en-US" w:eastAsia="zh-CN"/>
                    </w:rPr>
                    <w:t>10</w:t>
                  </w:r>
                  <w:r>
                    <w:rPr>
                      <w:rFonts w:hint="eastAsia" w:ascii="Times New Roman" w:hAnsi="Times New Roman" w:eastAsia="宋体" w:cs="Times New Roman"/>
                      <w:b w:val="0"/>
                      <w:bCs/>
                      <w:color w:val="auto"/>
                      <w:sz w:val="21"/>
                      <w:szCs w:val="21"/>
                      <w:highlight w:val="none"/>
                      <w:vertAlign w:val="baseline"/>
                      <w:lang w:val="en-US" w:eastAsia="zh-CN"/>
                    </w:rPr>
                    <w:t>.</w:t>
                  </w:r>
                  <w:r>
                    <w:rPr>
                      <w:rFonts w:hint="eastAsia" w:cs="Times New Roman"/>
                      <w:b w:val="0"/>
                      <w:bCs/>
                      <w:color w:val="auto"/>
                      <w:sz w:val="21"/>
                      <w:szCs w:val="21"/>
                      <w:highlight w:val="none"/>
                      <w:vertAlign w:val="baseline"/>
                      <w:lang w:val="en-US" w:eastAsia="zh-CN"/>
                    </w:rPr>
                    <w:t>17</w:t>
                  </w:r>
                </w:p>
              </w:tc>
              <w:tc>
                <w:tcPr>
                  <w:tcW w:w="1218" w:type="dxa"/>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精炼渣</w:t>
                  </w:r>
                </w:p>
              </w:tc>
              <w:tc>
                <w:tcPr>
                  <w:tcW w:w="934"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5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p>
              </w:tc>
              <w:tc>
                <w:tcPr>
                  <w:tcW w:w="10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80</w:t>
                  </w:r>
                </w:p>
              </w:tc>
              <w:tc>
                <w:tcPr>
                  <w:tcW w:w="123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blHeader/>
                <w:jc w:val="center"/>
              </w:trPr>
              <w:tc>
                <w:tcPr>
                  <w:tcW w:w="70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PingFang SC" w:cs="Times New Roman"/>
                      <w:b w:val="0"/>
                      <w:bCs w:val="0"/>
                      <w:color w:val="auto"/>
                      <w:sz w:val="21"/>
                      <w:szCs w:val="21"/>
                      <w:highlight w:val="none"/>
                      <w:vertAlign w:val="baseline"/>
                      <w:lang w:val="en-US" w:eastAsia="zh-CN"/>
                    </w:rPr>
                  </w:pPr>
                </w:p>
              </w:tc>
              <w:tc>
                <w:tcPr>
                  <w:tcW w:w="1218" w:type="dxa"/>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镍铁渣</w:t>
                  </w:r>
                </w:p>
              </w:tc>
              <w:tc>
                <w:tcPr>
                  <w:tcW w:w="934"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5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p>
              </w:tc>
              <w:tc>
                <w:tcPr>
                  <w:tcW w:w="10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77</w:t>
                  </w:r>
                </w:p>
              </w:tc>
              <w:tc>
                <w:tcPr>
                  <w:tcW w:w="123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rPr>
                  </w:pPr>
                </w:p>
              </w:tc>
            </w:tr>
          </w:tbl>
          <w:p>
            <w:pPr>
              <w:pStyle w:val="6"/>
              <w:keepNext/>
              <w:keepLines w:val="0"/>
              <w:pageBreakBefore w:val="0"/>
              <w:widowControl w:val="0"/>
              <w:kinsoku/>
              <w:wordWrap/>
              <w:overflowPunct/>
              <w:topLinePunct w:val="0"/>
              <w:autoSpaceDE/>
              <w:autoSpaceDN/>
              <w:bidi w:val="0"/>
              <w:adjustRightInd/>
              <w:snapToGrid/>
              <w:spacing w:before="160" w:beforeLines="50" w:after="160" w:afterLines="50" w:line="240" w:lineRule="auto"/>
              <w:textAlignment w:val="auto"/>
              <w:rPr>
                <w:rFonts w:hint="default" w:ascii="Times New Roman" w:hAnsi="Times New Roman" w:cs="Times New Roman"/>
                <w:color w:val="auto"/>
                <w:highlight w:val="none"/>
                <w:lang w:val="en-US" w:eastAsia="zh-CN"/>
              </w:rPr>
            </w:pPr>
            <w:bookmarkStart w:id="83" w:name="_Toc24173"/>
            <w:bookmarkStart w:id="84" w:name="_Toc14535"/>
            <w:r>
              <w:rPr>
                <w:rFonts w:hint="default" w:ascii="Times New Roman" w:hAnsi="Times New Roman" w:cs="Times New Roman"/>
                <w:color w:val="auto"/>
                <w:highlight w:val="none"/>
                <w:lang w:val="en-US" w:eastAsia="zh-CN"/>
              </w:rPr>
              <w:t>7.2验收监测结果</w:t>
            </w:r>
            <w:bookmarkEnd w:id="83"/>
            <w:bookmarkEnd w:id="84"/>
          </w:p>
          <w:p>
            <w:pPr>
              <w:pStyle w:val="7"/>
              <w:rPr>
                <w:rFonts w:hint="default" w:ascii="Times New Roman" w:hAnsi="Times New Roman" w:cs="Times New Roman"/>
                <w:color w:val="auto"/>
                <w:highlight w:val="none"/>
                <w:lang w:val="en-US" w:eastAsia="zh-CN"/>
              </w:rPr>
            </w:pPr>
            <w:bookmarkStart w:id="85" w:name="_Toc22938"/>
            <w:r>
              <w:rPr>
                <w:rFonts w:hint="default" w:ascii="Times New Roman" w:hAnsi="Times New Roman" w:cs="Times New Roman"/>
                <w:color w:val="auto"/>
                <w:highlight w:val="none"/>
                <w:lang w:val="en-US" w:eastAsia="zh-CN"/>
              </w:rPr>
              <w:t>7.2.1废气监测结果</w:t>
            </w:r>
            <w:bookmarkEnd w:id="85"/>
          </w:p>
          <w:p>
            <w:pPr>
              <w:pStyle w:val="8"/>
              <w:keepNext/>
              <w:keepLines/>
              <w:pageBreakBefore w:val="0"/>
              <w:widowControl w:val="0"/>
              <w:kinsoku/>
              <w:wordWrap/>
              <w:overflowPunct/>
              <w:topLinePunct w:val="0"/>
              <w:autoSpaceDE/>
              <w:autoSpaceDN/>
              <w:bidi w:val="0"/>
              <w:adjustRightInd/>
              <w:snapToGrid/>
              <w:spacing w:after="65" w:afterLines="20"/>
              <w:textAlignment w:val="auto"/>
              <w:rPr>
                <w:rFonts w:hint="default"/>
                <w:color w:val="auto"/>
                <w:lang w:val="en-US" w:eastAsia="zh-CN"/>
              </w:rPr>
            </w:pPr>
            <w:r>
              <w:rPr>
                <w:rFonts w:hint="eastAsia"/>
                <w:color w:val="auto"/>
                <w:lang w:val="en-US" w:eastAsia="zh-CN"/>
              </w:rPr>
              <w:t>7.2.1.1</w:t>
            </w:r>
            <w:r>
              <w:rPr>
                <w:rFonts w:hint="default"/>
                <w:color w:val="auto"/>
                <w:lang w:val="en-US" w:eastAsia="zh-CN"/>
              </w:rPr>
              <w:t>有组织废气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有组织废气监测结果见表7.2-1，监测结果显示</w:t>
            </w:r>
            <w:r>
              <w:rPr>
                <w:rFonts w:hint="eastAsia" w:cs="Times New Roman"/>
                <w:color w:val="auto"/>
                <w:sz w:val="24"/>
                <w:szCs w:val="24"/>
                <w:highlight w:val="none"/>
                <w:lang w:val="en-US" w:eastAsia="zh-CN"/>
              </w:rPr>
              <w:t>，二次破碎</w:t>
            </w:r>
            <w:r>
              <w:rPr>
                <w:rFonts w:hint="default" w:ascii="Times New Roman" w:hAnsi="Times New Roman" w:cs="Times New Roman"/>
                <w:color w:val="auto"/>
                <w:sz w:val="24"/>
                <w:szCs w:val="24"/>
                <w:highlight w:val="none"/>
                <w:lang w:val="en-US" w:eastAsia="zh-CN"/>
              </w:rPr>
              <w:t>废气（DA00</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颗粒物排放符合</w:t>
            </w:r>
            <w:r>
              <w:rPr>
                <w:rFonts w:hint="default" w:ascii="Times New Roman" w:hAnsi="Times New Roman" w:cs="Times New Roman"/>
                <w:color w:val="auto"/>
                <w:sz w:val="24"/>
                <w:szCs w:val="24"/>
                <w:highlight w:val="none"/>
                <w:lang w:val="en-US" w:eastAsia="zh-CN"/>
              </w:rPr>
              <w:t>《大气污染物综合排放标准》（GB16297-1996）表2中二级标准</w:t>
            </w:r>
            <w:r>
              <w:rPr>
                <w:rFonts w:hint="eastAsia" w:ascii="Times New Roman" w:hAnsi="Times New Roman" w:cs="Times New Roman"/>
                <w:color w:val="auto"/>
                <w:sz w:val="24"/>
                <w:szCs w:val="24"/>
                <w:highlight w:val="none"/>
                <w:lang w:val="en-US" w:eastAsia="zh-CN"/>
              </w:rPr>
              <w:t>（颗粒物浓度≤120mg/m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，颗粒物速率≤</w:t>
            </w:r>
            <w:r>
              <w:rPr>
                <w:rFonts w:hint="eastAsia" w:cs="Times New Roman"/>
                <w:color w:val="auto"/>
                <w:sz w:val="24"/>
                <w:szCs w:val="24"/>
                <w:highlight w:val="none"/>
                <w:lang w:val="en-US" w:eastAsia="zh-CN"/>
              </w:rPr>
              <w:t>5.9</w:t>
            </w:r>
            <w:r>
              <w:rPr>
                <w:rFonts w:hint="eastAsia" w:ascii="Times New Roman" w:hAnsi="Times New Roman" w:cs="Times New Roman"/>
                <w:color w:val="auto"/>
                <w:sz w:val="24"/>
                <w:szCs w:val="24"/>
                <w:highlight w:val="none"/>
                <w:lang w:val="en-US" w:eastAsia="zh-CN"/>
              </w:rPr>
              <w:t>kg/h）。</w:t>
            </w:r>
          </w:p>
          <w:p>
            <w:pPr>
              <w:pStyle w:val="9"/>
              <w:bidi w:val="0"/>
              <w:rPr>
                <w:rFonts w:hint="default"/>
                <w:lang w:val="en-US" w:eastAsia="zh-CN"/>
              </w:rPr>
            </w:pPr>
            <w:r>
              <w:rPr>
                <w:rFonts w:hint="default"/>
                <w:lang w:val="en-US" w:eastAsia="zh-CN"/>
              </w:rPr>
              <w:t>表7.2-1</w:t>
            </w:r>
            <w:r>
              <w:rPr>
                <w:rFonts w:hint="eastAsia"/>
                <w:lang w:val="en-US" w:eastAsia="zh-CN"/>
              </w:rPr>
              <w:t xml:space="preserve">  </w:t>
            </w:r>
            <w:r>
              <w:rPr>
                <w:rFonts w:hint="default"/>
                <w:lang w:val="en-US" w:eastAsia="zh-CN"/>
              </w:rPr>
              <w:t>有组织废气监测结果</w:t>
            </w:r>
            <w:r>
              <w:rPr>
                <w:rFonts w:hint="eastAsia"/>
                <w:lang w:val="en-US" w:eastAsia="zh-CN"/>
              </w:rPr>
              <w:t>一览表</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301"/>
              <w:gridCol w:w="1227"/>
              <w:gridCol w:w="1127"/>
              <w:gridCol w:w="1413"/>
              <w:gridCol w:w="1410"/>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43" w:type="pct"/>
                  <w:vMerge w:val="restart"/>
                  <w:noWrap w:val="0"/>
                  <w:vAlign w:val="center"/>
                </w:tcPr>
                <w:p>
                  <w:pPr>
                    <w:bidi w:val="0"/>
                    <w:jc w:val="center"/>
                    <w:rPr>
                      <w:rFonts w:hint="default" w:ascii="Times New Roman" w:hAnsi="Times New Roman" w:cs="Times New Roman"/>
                      <w:lang w:val="en-US" w:eastAsia="zh-CN"/>
                    </w:rPr>
                  </w:pPr>
                  <w:r>
                    <w:rPr>
                      <w:rFonts w:hint="default" w:ascii="Times New Roman" w:hAnsi="Times New Roman" w:eastAsia="宋体" w:cs="Times New Roman"/>
                      <w:bCs/>
                      <w:sz w:val="21"/>
                      <w:szCs w:val="21"/>
                    </w:rPr>
                    <w:t>采样日期</w:t>
                  </w:r>
                </w:p>
              </w:tc>
              <w:tc>
                <w:tcPr>
                  <w:tcW w:w="718" w:type="pct"/>
                  <w:vMerge w:val="restart"/>
                  <w:noWrap w:val="0"/>
                  <w:vAlign w:val="center"/>
                </w:tcPr>
                <w:p>
                  <w:pPr>
                    <w:jc w:val="center"/>
                    <w:rPr>
                      <w:rFonts w:hint="default" w:ascii="Times New Roman" w:hAnsi="Times New Roman" w:cs="Times New Roman"/>
                      <w:color w:val="000000"/>
                      <w:szCs w:val="21"/>
                      <w:lang w:val="en-US" w:eastAsia="zh-CN"/>
                    </w:rPr>
                  </w:pPr>
                  <w:r>
                    <w:rPr>
                      <w:rFonts w:hint="default" w:ascii="Times New Roman" w:hAnsi="Times New Roman" w:cs="Times New Roman"/>
                      <w:color w:val="auto"/>
                      <w:szCs w:val="21"/>
                    </w:rPr>
                    <w:t>检测点位</w:t>
                  </w:r>
                </w:p>
              </w:tc>
              <w:tc>
                <w:tcPr>
                  <w:tcW w:w="677" w:type="pct"/>
                  <w:vMerge w:val="restart"/>
                  <w:noWrap w:val="0"/>
                  <w:vAlign w:val="center"/>
                </w:tcPr>
                <w:p>
                  <w:pPr>
                    <w:jc w:val="center"/>
                    <w:rPr>
                      <w:rFonts w:hint="default" w:ascii="Times New Roman" w:hAnsi="Times New Roman" w:cs="Times New Roman"/>
                      <w:bCs/>
                      <w:color w:val="auto"/>
                      <w:szCs w:val="21"/>
                      <w:lang w:val="en-US"/>
                    </w:rPr>
                  </w:pPr>
                  <w:r>
                    <w:rPr>
                      <w:rFonts w:hint="default" w:ascii="Times New Roman" w:hAnsi="Times New Roman" w:cs="Times New Roman"/>
                      <w:color w:val="auto"/>
                      <w:szCs w:val="21"/>
                    </w:rPr>
                    <w:t>检测项目</w:t>
                  </w:r>
                </w:p>
              </w:tc>
              <w:tc>
                <w:tcPr>
                  <w:tcW w:w="622" w:type="pct"/>
                  <w:vMerge w:val="restart"/>
                  <w:noWrap w:val="0"/>
                  <w:vAlign w:val="center"/>
                </w:tcPr>
                <w:p>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检测</w:t>
                  </w:r>
                </w:p>
                <w:p>
                  <w:pPr>
                    <w:widowControl/>
                    <w:jc w:val="center"/>
                    <w:rPr>
                      <w:rFonts w:hint="default" w:ascii="Times New Roman" w:hAnsi="Times New Roman" w:cs="Times New Roman"/>
                      <w:color w:val="auto"/>
                      <w:szCs w:val="21"/>
                      <w:lang w:val="en-US"/>
                    </w:rPr>
                  </w:pPr>
                  <w:r>
                    <w:rPr>
                      <w:rFonts w:hint="default" w:ascii="Times New Roman" w:hAnsi="Times New Roman" w:cs="Times New Roman"/>
                      <w:bCs/>
                      <w:color w:val="auto"/>
                      <w:szCs w:val="21"/>
                    </w:rPr>
                    <w:t>频次</w:t>
                  </w:r>
                </w:p>
              </w:tc>
              <w:tc>
                <w:tcPr>
                  <w:tcW w:w="2338" w:type="pct"/>
                  <w:gridSpan w:val="3"/>
                  <w:noWrap w:val="0"/>
                  <w:vAlign w:val="center"/>
                </w:tcPr>
                <w:p>
                  <w:pPr>
                    <w:jc w:val="center"/>
                    <w:rPr>
                      <w:rFonts w:hint="default" w:ascii="Times New Roman" w:hAnsi="Times New Roman" w:cs="Times New Roman"/>
                      <w:color w:val="FF0000"/>
                      <w:szCs w:val="21"/>
                      <w:lang w:val="en-US" w:eastAsia="zh-CN"/>
                    </w:rPr>
                  </w:pPr>
                  <w:r>
                    <w:rPr>
                      <w:rFonts w:hint="default" w:ascii="Times New Roman" w:hAnsi="Times New Roman" w:cs="Times New Roman"/>
                      <w:color w:val="auto"/>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643" w:type="pct"/>
                  <w:vMerge w:val="continue"/>
                  <w:noWrap w:val="0"/>
                  <w:vAlign w:val="center"/>
                </w:tcPr>
                <w:p>
                  <w:pPr>
                    <w:jc w:val="center"/>
                    <w:rPr>
                      <w:rFonts w:hint="default" w:ascii="Times New Roman" w:hAnsi="Times New Roman" w:cs="Times New Roman"/>
                      <w:lang w:val="en-US" w:eastAsia="zh-CN"/>
                    </w:rPr>
                  </w:pPr>
                </w:p>
              </w:tc>
              <w:tc>
                <w:tcPr>
                  <w:tcW w:w="718" w:type="pct"/>
                  <w:vMerge w:val="continue"/>
                  <w:noWrap w:val="0"/>
                  <w:vAlign w:val="center"/>
                </w:tcPr>
                <w:p>
                  <w:pPr>
                    <w:jc w:val="center"/>
                    <w:rPr>
                      <w:rFonts w:hint="default" w:ascii="Times New Roman" w:hAnsi="Times New Roman" w:cs="Times New Roman"/>
                      <w:color w:val="000000"/>
                      <w:szCs w:val="21"/>
                      <w:lang w:eastAsia="zh-CN"/>
                    </w:rPr>
                  </w:pPr>
                </w:p>
              </w:tc>
              <w:tc>
                <w:tcPr>
                  <w:tcW w:w="677" w:type="pct"/>
                  <w:vMerge w:val="continue"/>
                  <w:noWrap w:val="0"/>
                  <w:vAlign w:val="center"/>
                </w:tcPr>
                <w:p>
                  <w:pPr>
                    <w:jc w:val="center"/>
                    <w:rPr>
                      <w:rFonts w:hint="default" w:ascii="Times New Roman" w:hAnsi="Times New Roman" w:cs="Times New Roman"/>
                      <w:bCs/>
                      <w:color w:val="auto"/>
                      <w:szCs w:val="21"/>
                    </w:rPr>
                  </w:pPr>
                </w:p>
              </w:tc>
              <w:tc>
                <w:tcPr>
                  <w:tcW w:w="622" w:type="pct"/>
                  <w:vMerge w:val="continue"/>
                  <w:noWrap w:val="0"/>
                  <w:vAlign w:val="center"/>
                </w:tcPr>
                <w:p>
                  <w:pPr>
                    <w:jc w:val="center"/>
                    <w:rPr>
                      <w:rFonts w:hint="default" w:ascii="Times New Roman" w:hAnsi="Times New Roman" w:cs="Times New Roman"/>
                      <w:color w:val="auto"/>
                      <w:szCs w:val="21"/>
                    </w:rPr>
                  </w:pPr>
                </w:p>
              </w:tc>
              <w:tc>
                <w:tcPr>
                  <w:tcW w:w="778" w:type="pct"/>
                  <w:noWrap w:val="0"/>
                  <w:vAlign w:val="center"/>
                </w:tcPr>
                <w:p>
                  <w:pPr>
                    <w:jc w:val="center"/>
                    <w:rPr>
                      <w:rFonts w:hint="default" w:ascii="Times New Roman" w:hAnsi="Times New Roman" w:cs="Times New Roman"/>
                      <w:color w:val="FF0000"/>
                      <w:spacing w:val="0"/>
                      <w:sz w:val="21"/>
                      <w:szCs w:val="21"/>
                      <w:lang w:val="en-US" w:eastAsia="zh-CN"/>
                    </w:rPr>
                  </w:pPr>
                  <w:r>
                    <w:rPr>
                      <w:rFonts w:hint="default" w:ascii="Times New Roman" w:hAnsi="Times New Roman" w:cs="Times New Roman"/>
                      <w:color w:val="auto"/>
                      <w:spacing w:val="0"/>
                      <w:sz w:val="21"/>
                      <w:szCs w:val="21"/>
                    </w:rPr>
                    <w:t>烟气流量(m</w:t>
                  </w:r>
                  <w:r>
                    <w:rPr>
                      <w:rFonts w:hint="default" w:ascii="Times New Roman" w:hAnsi="Times New Roman" w:cs="Times New Roman"/>
                      <w:color w:val="auto"/>
                      <w:spacing w:val="0"/>
                      <w:sz w:val="21"/>
                      <w:szCs w:val="21"/>
                      <w:vertAlign w:val="superscript"/>
                    </w:rPr>
                    <w:t>3</w:t>
                  </w:r>
                  <w:r>
                    <w:rPr>
                      <w:rFonts w:hint="default" w:ascii="Times New Roman" w:hAnsi="Times New Roman" w:cs="Times New Roman"/>
                      <w:color w:val="auto"/>
                      <w:spacing w:val="0"/>
                      <w:sz w:val="21"/>
                      <w:szCs w:val="21"/>
                    </w:rPr>
                    <w:t>/h)</w:t>
                  </w:r>
                </w:p>
              </w:tc>
              <w:tc>
                <w:tcPr>
                  <w:tcW w:w="778" w:type="pct"/>
                  <w:noWrap w:val="0"/>
                  <w:vAlign w:val="center"/>
                </w:tcPr>
                <w:p>
                  <w:pPr>
                    <w:jc w:val="center"/>
                    <w:rPr>
                      <w:rFonts w:hint="default" w:ascii="Times New Roman" w:hAnsi="Times New Roman" w:cs="Times New Roman"/>
                      <w:color w:val="FF0000"/>
                      <w:spacing w:val="0"/>
                      <w:sz w:val="21"/>
                      <w:szCs w:val="21"/>
                      <w:lang w:val="en-US" w:eastAsia="zh-CN"/>
                    </w:rPr>
                  </w:pPr>
                  <w:r>
                    <w:rPr>
                      <w:rFonts w:hint="default" w:ascii="Times New Roman" w:hAnsi="Times New Roman" w:eastAsia="宋体" w:cs="Times New Roman"/>
                      <w:color w:val="auto"/>
                      <w:spacing w:val="0"/>
                      <w:sz w:val="21"/>
                      <w:szCs w:val="21"/>
                    </w:rPr>
                    <w:t>排放浓度</w:t>
                  </w:r>
                  <w:r>
                    <w:rPr>
                      <w:rFonts w:hint="default" w:ascii="Times New Roman" w:hAnsi="Times New Roman" w:cs="Times New Roman"/>
                      <w:color w:val="auto"/>
                      <w:spacing w:val="0"/>
                      <w:sz w:val="21"/>
                      <w:szCs w:val="21"/>
                    </w:rPr>
                    <w:t>(mg/m</w:t>
                  </w:r>
                  <w:r>
                    <w:rPr>
                      <w:rFonts w:hint="default" w:ascii="Times New Roman" w:hAnsi="Times New Roman" w:cs="Times New Roman"/>
                      <w:color w:val="auto"/>
                      <w:spacing w:val="0"/>
                      <w:sz w:val="21"/>
                      <w:szCs w:val="21"/>
                      <w:vertAlign w:val="superscript"/>
                    </w:rPr>
                    <w:t>3</w:t>
                  </w:r>
                  <w:r>
                    <w:rPr>
                      <w:rFonts w:hint="default" w:ascii="Times New Roman" w:hAnsi="Times New Roman" w:cs="Times New Roman"/>
                      <w:color w:val="auto"/>
                      <w:spacing w:val="0"/>
                      <w:sz w:val="21"/>
                      <w:szCs w:val="21"/>
                    </w:rPr>
                    <w:t>)</w:t>
                  </w:r>
                </w:p>
              </w:tc>
              <w:tc>
                <w:tcPr>
                  <w:tcW w:w="781" w:type="pct"/>
                  <w:noWrap w:val="0"/>
                  <w:vAlign w:val="center"/>
                </w:tcPr>
                <w:p>
                  <w:pPr>
                    <w:jc w:val="center"/>
                    <w:rPr>
                      <w:rFonts w:hint="default" w:ascii="Times New Roman" w:hAnsi="Times New Roman" w:cs="Times New Roman"/>
                      <w:color w:val="FF0000"/>
                      <w:spacing w:val="0"/>
                      <w:sz w:val="21"/>
                      <w:szCs w:val="21"/>
                      <w:lang w:val="en-US" w:eastAsia="zh-CN"/>
                    </w:rPr>
                  </w:pPr>
                  <w:r>
                    <w:rPr>
                      <w:rFonts w:hint="default" w:ascii="Times New Roman" w:hAnsi="Times New Roman" w:eastAsia="宋体" w:cs="Times New Roman"/>
                      <w:color w:val="auto"/>
                      <w:spacing w:val="0"/>
                      <w:sz w:val="21"/>
                      <w:szCs w:val="21"/>
                    </w:rPr>
                    <w:t>排放速率</w:t>
                  </w:r>
                  <w:r>
                    <w:rPr>
                      <w:rFonts w:hint="default" w:ascii="Times New Roman" w:hAnsi="Times New Roman" w:cs="Times New Roman"/>
                      <w:color w:val="auto"/>
                      <w:spacing w:val="0"/>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3" w:type="pct"/>
                  <w:vMerge w:val="restart"/>
                  <w:noWrap w:val="0"/>
                  <w:vAlign w:val="center"/>
                </w:tcPr>
                <w:p>
                  <w:pPr>
                    <w:bidi w:val="0"/>
                    <w:jc w:val="center"/>
                    <w:rPr>
                      <w:rFonts w:hint="default" w:ascii="Times New Roman" w:hAnsi="Times New Roman" w:eastAsia="宋体" w:cs="Times New Roman"/>
                      <w:bCs/>
                      <w:sz w:val="21"/>
                      <w:szCs w:val="21"/>
                      <w:lang w:eastAsia="zh-CN"/>
                    </w:rPr>
                  </w:pPr>
                  <w:bookmarkStart w:id="86" w:name="OLE_LINK3" w:colFirst="4" w:colLast="5"/>
                  <w:r>
                    <w:rPr>
                      <w:rFonts w:hint="default" w:ascii="Times New Roman" w:hAnsi="Times New Roman" w:eastAsia="宋体" w:cs="Times New Roman"/>
                      <w:bCs/>
                      <w:sz w:val="21"/>
                      <w:szCs w:val="21"/>
                      <w:lang w:eastAsia="zh-CN"/>
                    </w:rPr>
                    <w:t>202</w:t>
                  </w:r>
                  <w:r>
                    <w:rPr>
                      <w:rFonts w:hint="eastAsia" w:ascii="Times New Roman" w:hAnsi="Times New Roman" w:eastAsia="宋体" w:cs="Times New Roman"/>
                      <w:bCs/>
                      <w:sz w:val="21"/>
                      <w:szCs w:val="21"/>
                      <w:lang w:val="en-US" w:eastAsia="zh-CN"/>
                    </w:rPr>
                    <w:t>5</w:t>
                  </w:r>
                  <w:r>
                    <w:rPr>
                      <w:rFonts w:hint="default" w:ascii="Times New Roman" w:hAnsi="Times New Roman" w:eastAsia="宋体" w:cs="Times New Roman"/>
                      <w:bCs/>
                      <w:sz w:val="21"/>
                      <w:szCs w:val="21"/>
                      <w:lang w:eastAsia="zh-CN"/>
                    </w:rPr>
                    <w:t>年</w:t>
                  </w:r>
                </w:p>
                <w:p>
                  <w:pPr>
                    <w:bidi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w:t>
                  </w:r>
                  <w:r>
                    <w:rPr>
                      <w:rFonts w:hint="default" w:ascii="Times New Roman" w:hAnsi="Times New Roman" w:eastAsia="宋体" w:cs="Times New Roman"/>
                      <w:bCs/>
                      <w:sz w:val="21"/>
                      <w:szCs w:val="21"/>
                      <w:lang w:val="en-US" w:eastAsia="zh-CN"/>
                    </w:rPr>
                    <w:t>月</w:t>
                  </w:r>
                  <w:r>
                    <w:rPr>
                      <w:rFonts w:hint="eastAsia" w:ascii="Times New Roman" w:hAnsi="Times New Roman" w:eastAsia="宋体" w:cs="Times New Roman"/>
                      <w:bCs/>
                      <w:sz w:val="21"/>
                      <w:szCs w:val="21"/>
                      <w:lang w:val="en-US" w:eastAsia="zh-CN"/>
                    </w:rPr>
                    <w:t>16</w:t>
                  </w:r>
                  <w:r>
                    <w:rPr>
                      <w:rFonts w:hint="default" w:ascii="Times New Roman" w:hAnsi="Times New Roman" w:eastAsia="宋体" w:cs="Times New Roman"/>
                      <w:bCs/>
                      <w:sz w:val="21"/>
                      <w:szCs w:val="21"/>
                      <w:lang w:val="en-US" w:eastAsia="zh-CN"/>
                    </w:rPr>
                    <w:t>日</w:t>
                  </w:r>
                </w:p>
              </w:tc>
              <w:tc>
                <w:tcPr>
                  <w:tcW w:w="718" w:type="pct"/>
                  <w:vMerge w:val="restart"/>
                  <w:noWrap w:val="0"/>
                  <w:vAlign w:val="center"/>
                </w:tcPr>
                <w:p>
                  <w:pPr>
                    <w:jc w:val="center"/>
                    <w:rPr>
                      <w:rFonts w:hint="default" w:ascii="Times New Roman" w:hAnsi="Times New Roman" w:cs="Times New Roman"/>
                      <w:color w:val="000000"/>
                      <w:szCs w:val="21"/>
                      <w:lang w:eastAsia="zh-CN"/>
                    </w:rPr>
                  </w:pPr>
                  <w:r>
                    <w:rPr>
                      <w:rFonts w:hint="eastAsia" w:ascii="Times New Roman" w:hAnsi="Times New Roman" w:cs="Times New Roman"/>
                      <w:color w:val="auto"/>
                      <w:spacing w:val="0"/>
                      <w:sz w:val="21"/>
                      <w:szCs w:val="21"/>
                      <w:lang w:val="en-US" w:eastAsia="zh-CN"/>
                    </w:rPr>
                    <w:t>二次破碎废气排放口（DA003）</w:t>
                  </w:r>
                </w:p>
              </w:tc>
              <w:tc>
                <w:tcPr>
                  <w:tcW w:w="677" w:type="pct"/>
                  <w:vMerge w:val="restart"/>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颗粒物</w:t>
                  </w:r>
                </w:p>
              </w:tc>
              <w:tc>
                <w:tcPr>
                  <w:tcW w:w="622"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第1次</w:t>
                  </w: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78" w:type="pct"/>
                  <w:noWrap w:val="0"/>
                  <w:vAlign w:val="center"/>
                </w:tcPr>
                <w:p>
                  <w:pPr>
                    <w:bidi w:val="0"/>
                    <w:jc w:val="center"/>
                    <w:rPr>
                      <w:rFonts w:hint="default" w:ascii="Times New Roman" w:hAnsi="Times New Roman" w:eastAsia="宋体"/>
                      <w:color w:val="auto"/>
                      <w:kern w:val="2"/>
                      <w:sz w:val="21"/>
                      <w:szCs w:val="24"/>
                      <w:lang w:val="en-US" w:eastAsia="zh-CN" w:bidi="ar-SA"/>
                    </w:rPr>
                  </w:pPr>
                </w:p>
              </w:tc>
              <w:tc>
                <w:tcPr>
                  <w:tcW w:w="781"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43" w:type="pct"/>
                  <w:vMerge w:val="continue"/>
                  <w:noWrap w:val="0"/>
                  <w:vAlign w:val="center"/>
                </w:tcPr>
                <w:p>
                  <w:pPr>
                    <w:bidi w:val="0"/>
                    <w:jc w:val="center"/>
                    <w:rPr>
                      <w:rFonts w:hint="default" w:ascii="Times New Roman" w:hAnsi="Times New Roman" w:eastAsia="宋体" w:cs="Times New Roman"/>
                      <w:bCs/>
                      <w:sz w:val="21"/>
                      <w:szCs w:val="21"/>
                      <w:lang w:val="en-US" w:eastAsia="zh-CN"/>
                    </w:rPr>
                  </w:pPr>
                </w:p>
              </w:tc>
              <w:tc>
                <w:tcPr>
                  <w:tcW w:w="718" w:type="pct"/>
                  <w:vMerge w:val="continue"/>
                  <w:noWrap w:val="0"/>
                  <w:vAlign w:val="center"/>
                </w:tcPr>
                <w:p>
                  <w:pPr>
                    <w:jc w:val="center"/>
                    <w:rPr>
                      <w:rFonts w:hint="default" w:ascii="Times New Roman" w:hAnsi="Times New Roman" w:cs="Times New Roman"/>
                      <w:color w:val="000000"/>
                      <w:szCs w:val="21"/>
                      <w:lang w:eastAsia="zh-CN"/>
                    </w:rPr>
                  </w:pPr>
                </w:p>
              </w:tc>
              <w:tc>
                <w:tcPr>
                  <w:tcW w:w="677" w:type="pct"/>
                  <w:vMerge w:val="continue"/>
                  <w:noWrap w:val="0"/>
                  <w:vAlign w:val="center"/>
                </w:tcPr>
                <w:p>
                  <w:pPr>
                    <w:jc w:val="center"/>
                    <w:rPr>
                      <w:rFonts w:hint="default" w:ascii="Times New Roman" w:hAnsi="Times New Roman" w:cs="Times New Roman"/>
                      <w:bCs/>
                      <w:color w:val="auto"/>
                      <w:szCs w:val="21"/>
                    </w:rPr>
                  </w:pPr>
                </w:p>
              </w:tc>
              <w:tc>
                <w:tcPr>
                  <w:tcW w:w="622"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第2次</w:t>
                  </w: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78" w:type="pct"/>
                  <w:noWrap w:val="0"/>
                  <w:vAlign w:val="center"/>
                </w:tcPr>
                <w:p>
                  <w:pPr>
                    <w:bidi w:val="0"/>
                    <w:jc w:val="center"/>
                    <w:rPr>
                      <w:rFonts w:hint="default" w:ascii="Times New Roman" w:hAnsi="Times New Roman" w:eastAsia="宋体"/>
                      <w:color w:val="auto"/>
                      <w:kern w:val="2"/>
                      <w:sz w:val="21"/>
                      <w:szCs w:val="24"/>
                      <w:lang w:val="en-US" w:eastAsia="zh-CN" w:bidi="ar-SA"/>
                    </w:rPr>
                  </w:pPr>
                </w:p>
              </w:tc>
              <w:tc>
                <w:tcPr>
                  <w:tcW w:w="781" w:type="pct"/>
                  <w:vMerge w:val="continue"/>
                  <w:noWrap w:val="0"/>
                  <w:vAlign w:val="center"/>
                </w:tcPr>
                <w:p>
                  <w:pPr>
                    <w:jc w:val="center"/>
                    <w:rPr>
                      <w:rFonts w:hint="default" w:ascii="Times New Roman" w:hAnsi="Times New Roman" w:eastAsia="宋体" w:cs="Times New Roman"/>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43" w:type="pct"/>
                  <w:vMerge w:val="continue"/>
                  <w:noWrap w:val="0"/>
                  <w:vAlign w:val="center"/>
                </w:tcPr>
                <w:p>
                  <w:pPr>
                    <w:bidi w:val="0"/>
                    <w:jc w:val="center"/>
                    <w:rPr>
                      <w:rFonts w:hint="default" w:ascii="Times New Roman" w:hAnsi="Times New Roman" w:eastAsia="宋体" w:cs="Times New Roman"/>
                      <w:bCs/>
                      <w:sz w:val="21"/>
                      <w:szCs w:val="21"/>
                      <w:lang w:val="en-US" w:eastAsia="zh-CN"/>
                    </w:rPr>
                  </w:pPr>
                </w:p>
              </w:tc>
              <w:tc>
                <w:tcPr>
                  <w:tcW w:w="718" w:type="pct"/>
                  <w:vMerge w:val="continue"/>
                  <w:noWrap w:val="0"/>
                  <w:vAlign w:val="center"/>
                </w:tcPr>
                <w:p>
                  <w:pPr>
                    <w:jc w:val="center"/>
                    <w:rPr>
                      <w:rFonts w:hint="default" w:ascii="Times New Roman" w:hAnsi="Times New Roman" w:cs="Times New Roman"/>
                      <w:color w:val="000000"/>
                      <w:szCs w:val="21"/>
                      <w:lang w:eastAsia="zh-CN"/>
                    </w:rPr>
                  </w:pPr>
                </w:p>
              </w:tc>
              <w:tc>
                <w:tcPr>
                  <w:tcW w:w="677" w:type="pct"/>
                  <w:vMerge w:val="continue"/>
                  <w:noWrap w:val="0"/>
                  <w:vAlign w:val="center"/>
                </w:tcPr>
                <w:p>
                  <w:pPr>
                    <w:jc w:val="center"/>
                    <w:rPr>
                      <w:rFonts w:hint="default" w:ascii="Times New Roman" w:hAnsi="Times New Roman" w:cs="Times New Roman"/>
                      <w:bCs/>
                      <w:color w:val="auto"/>
                      <w:szCs w:val="21"/>
                    </w:rPr>
                  </w:pPr>
                </w:p>
              </w:tc>
              <w:tc>
                <w:tcPr>
                  <w:tcW w:w="622"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第3次</w:t>
                  </w: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78" w:type="pct"/>
                  <w:noWrap w:val="0"/>
                  <w:vAlign w:val="center"/>
                </w:tcPr>
                <w:p>
                  <w:pPr>
                    <w:bidi w:val="0"/>
                    <w:jc w:val="center"/>
                    <w:rPr>
                      <w:rFonts w:hint="default" w:ascii="Times New Roman" w:hAnsi="Times New Roman" w:eastAsia="宋体"/>
                      <w:color w:val="auto"/>
                      <w:kern w:val="2"/>
                      <w:sz w:val="21"/>
                      <w:szCs w:val="24"/>
                      <w:lang w:val="en-US" w:eastAsia="zh-CN" w:bidi="ar-SA"/>
                    </w:rPr>
                  </w:pPr>
                </w:p>
              </w:tc>
              <w:tc>
                <w:tcPr>
                  <w:tcW w:w="781" w:type="pct"/>
                  <w:vMerge w:val="continue"/>
                  <w:noWrap w:val="0"/>
                  <w:vAlign w:val="center"/>
                </w:tcPr>
                <w:p>
                  <w:pPr>
                    <w:jc w:val="center"/>
                    <w:rPr>
                      <w:rFonts w:hint="default" w:ascii="Times New Roman" w:hAnsi="Times New Roman" w:eastAsia="宋体" w:cs="Times New Roman"/>
                      <w:color w:val="auto"/>
                      <w:spacing w:val="0"/>
                      <w:sz w:val="21"/>
                      <w:szCs w:val="21"/>
                    </w:rPr>
                  </w:pPr>
                </w:p>
              </w:tc>
            </w:tr>
            <w:bookmarkEnd w:id="8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43" w:type="pct"/>
                  <w:vMerge w:val="continue"/>
                  <w:noWrap w:val="0"/>
                  <w:vAlign w:val="center"/>
                </w:tcPr>
                <w:p>
                  <w:pPr>
                    <w:bidi w:val="0"/>
                    <w:jc w:val="center"/>
                    <w:rPr>
                      <w:rFonts w:hint="default" w:ascii="Times New Roman" w:hAnsi="Times New Roman" w:eastAsia="宋体" w:cs="Times New Roman"/>
                      <w:bCs/>
                      <w:sz w:val="21"/>
                      <w:szCs w:val="21"/>
                      <w:lang w:val="en-US" w:eastAsia="zh-CN"/>
                    </w:rPr>
                  </w:pPr>
                </w:p>
              </w:tc>
              <w:tc>
                <w:tcPr>
                  <w:tcW w:w="718" w:type="pct"/>
                  <w:vMerge w:val="continue"/>
                  <w:noWrap w:val="0"/>
                  <w:vAlign w:val="center"/>
                </w:tcPr>
                <w:p>
                  <w:pPr>
                    <w:jc w:val="center"/>
                    <w:rPr>
                      <w:rFonts w:hint="default" w:ascii="Times New Roman" w:hAnsi="Times New Roman" w:cs="Times New Roman"/>
                      <w:color w:val="000000"/>
                      <w:szCs w:val="21"/>
                      <w:lang w:eastAsia="zh-CN"/>
                    </w:rPr>
                  </w:pPr>
                </w:p>
              </w:tc>
              <w:tc>
                <w:tcPr>
                  <w:tcW w:w="677" w:type="pct"/>
                  <w:vMerge w:val="continue"/>
                  <w:noWrap w:val="0"/>
                  <w:vAlign w:val="center"/>
                </w:tcPr>
                <w:p>
                  <w:pPr>
                    <w:jc w:val="center"/>
                    <w:rPr>
                      <w:rFonts w:hint="default" w:ascii="Times New Roman" w:hAnsi="Times New Roman" w:cs="Times New Roman"/>
                      <w:bCs/>
                      <w:color w:val="auto"/>
                      <w:szCs w:val="21"/>
                    </w:rPr>
                  </w:pPr>
                </w:p>
              </w:tc>
              <w:tc>
                <w:tcPr>
                  <w:tcW w:w="622"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平均值</w:t>
                  </w: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81" w:type="pct"/>
                  <w:vMerge w:val="continue"/>
                  <w:noWrap w:val="0"/>
                  <w:vAlign w:val="center"/>
                </w:tcPr>
                <w:p>
                  <w:pPr>
                    <w:jc w:val="center"/>
                    <w:rPr>
                      <w:rFonts w:hint="default" w:ascii="Times New Roman" w:hAnsi="Times New Roman" w:eastAsia="宋体" w:cs="Times New Roman"/>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43" w:type="pct"/>
                  <w:vMerge w:val="restart"/>
                  <w:noWrap w:val="0"/>
                  <w:vAlign w:val="center"/>
                </w:tcPr>
                <w:p>
                  <w:pPr>
                    <w:bidi w:val="0"/>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202</w:t>
                  </w:r>
                  <w:r>
                    <w:rPr>
                      <w:rFonts w:hint="eastAsia" w:ascii="Times New Roman" w:hAnsi="Times New Roman" w:eastAsia="宋体" w:cs="Times New Roman"/>
                      <w:bCs/>
                      <w:sz w:val="21"/>
                      <w:szCs w:val="21"/>
                      <w:lang w:val="en-US" w:eastAsia="zh-CN"/>
                    </w:rPr>
                    <w:t>5</w:t>
                  </w:r>
                  <w:r>
                    <w:rPr>
                      <w:rFonts w:hint="default" w:ascii="Times New Roman" w:hAnsi="Times New Roman" w:eastAsia="宋体" w:cs="Times New Roman"/>
                      <w:bCs/>
                      <w:sz w:val="21"/>
                      <w:szCs w:val="21"/>
                      <w:lang w:eastAsia="zh-CN"/>
                    </w:rPr>
                    <w:t>年</w:t>
                  </w:r>
                </w:p>
                <w:p>
                  <w:pPr>
                    <w:bidi w:val="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10</w:t>
                  </w:r>
                  <w:r>
                    <w:rPr>
                      <w:rFonts w:hint="default" w:ascii="Times New Roman" w:hAnsi="Times New Roman" w:eastAsia="宋体" w:cs="Times New Roman"/>
                      <w:bCs/>
                      <w:sz w:val="21"/>
                      <w:szCs w:val="21"/>
                      <w:lang w:val="en-US" w:eastAsia="zh-CN"/>
                    </w:rPr>
                    <w:t>月</w:t>
                  </w:r>
                  <w:r>
                    <w:rPr>
                      <w:rFonts w:hint="eastAsia" w:ascii="Times New Roman" w:hAnsi="Times New Roman" w:eastAsia="宋体" w:cs="Times New Roman"/>
                      <w:bCs/>
                      <w:sz w:val="21"/>
                      <w:szCs w:val="21"/>
                      <w:lang w:val="en-US" w:eastAsia="zh-CN"/>
                    </w:rPr>
                    <w:t>17</w:t>
                  </w:r>
                  <w:r>
                    <w:rPr>
                      <w:rFonts w:hint="default" w:ascii="Times New Roman" w:hAnsi="Times New Roman" w:eastAsia="宋体" w:cs="Times New Roman"/>
                      <w:bCs/>
                      <w:sz w:val="21"/>
                      <w:szCs w:val="21"/>
                      <w:lang w:val="en-US" w:eastAsia="zh-CN"/>
                    </w:rPr>
                    <w:t>日</w:t>
                  </w:r>
                </w:p>
              </w:tc>
              <w:tc>
                <w:tcPr>
                  <w:tcW w:w="718" w:type="pct"/>
                  <w:vMerge w:val="restar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auto"/>
                      <w:spacing w:val="0"/>
                      <w:sz w:val="21"/>
                      <w:szCs w:val="21"/>
                      <w:lang w:val="en-US" w:eastAsia="zh-CN"/>
                    </w:rPr>
                    <w:t>二次破碎废气排放口（DA003）</w:t>
                  </w:r>
                </w:p>
              </w:tc>
              <w:tc>
                <w:tcPr>
                  <w:tcW w:w="677" w:type="pct"/>
                  <w:vMerge w:val="restar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颗粒物</w:t>
                  </w:r>
                </w:p>
              </w:tc>
              <w:tc>
                <w:tcPr>
                  <w:tcW w:w="622"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第1次</w:t>
                  </w: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78" w:type="pct"/>
                  <w:noWrap w:val="0"/>
                  <w:vAlign w:val="center"/>
                </w:tcPr>
                <w:p>
                  <w:pPr>
                    <w:bidi w:val="0"/>
                    <w:jc w:val="center"/>
                    <w:rPr>
                      <w:rFonts w:hint="default" w:ascii="Times New Roman" w:hAnsi="Times New Roman" w:eastAsia="宋体"/>
                      <w:color w:val="auto"/>
                      <w:kern w:val="2"/>
                      <w:sz w:val="21"/>
                      <w:szCs w:val="24"/>
                      <w:highlight w:val="none"/>
                      <w:lang w:val="en-US" w:eastAsia="zh-CN" w:bidi="ar-SA"/>
                    </w:rPr>
                  </w:pPr>
                </w:p>
              </w:tc>
              <w:tc>
                <w:tcPr>
                  <w:tcW w:w="781" w:type="pct"/>
                  <w:vMerge w:val="restart"/>
                  <w:noWrap w:val="0"/>
                  <w:vAlign w:val="center"/>
                </w:tcPr>
                <w:p>
                  <w:pPr>
                    <w:jc w:val="center"/>
                    <w:rPr>
                      <w:rFonts w:hint="default" w:ascii="Times New Roman" w:hAnsi="Times New Roman" w:eastAsia="宋体" w:cs="Times New Roman"/>
                      <w:color w:val="auto"/>
                      <w:spacing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43" w:type="pct"/>
                  <w:vMerge w:val="continue"/>
                  <w:noWrap w:val="0"/>
                  <w:vAlign w:val="center"/>
                </w:tcPr>
                <w:p>
                  <w:pPr>
                    <w:bidi w:val="0"/>
                    <w:jc w:val="center"/>
                    <w:rPr>
                      <w:rFonts w:hint="default" w:ascii="Times New Roman" w:hAnsi="Times New Roman" w:eastAsia="宋体" w:cs="Times New Roman"/>
                      <w:bCs/>
                      <w:sz w:val="21"/>
                      <w:szCs w:val="21"/>
                      <w:lang w:val="en-US" w:eastAsia="zh-CN"/>
                    </w:rPr>
                  </w:pPr>
                </w:p>
              </w:tc>
              <w:tc>
                <w:tcPr>
                  <w:tcW w:w="718" w:type="pct"/>
                  <w:vMerge w:val="continue"/>
                  <w:noWrap w:val="0"/>
                  <w:vAlign w:val="center"/>
                </w:tcPr>
                <w:p>
                  <w:pPr>
                    <w:jc w:val="center"/>
                    <w:rPr>
                      <w:rFonts w:hint="default" w:ascii="Times New Roman" w:hAnsi="Times New Roman" w:cs="Times New Roman"/>
                      <w:color w:val="000000"/>
                      <w:szCs w:val="21"/>
                      <w:lang w:eastAsia="zh-CN"/>
                    </w:rPr>
                  </w:pPr>
                </w:p>
              </w:tc>
              <w:tc>
                <w:tcPr>
                  <w:tcW w:w="677" w:type="pct"/>
                  <w:vMerge w:val="continue"/>
                  <w:noWrap w:val="0"/>
                  <w:vAlign w:val="center"/>
                </w:tcPr>
                <w:p>
                  <w:pPr>
                    <w:jc w:val="center"/>
                    <w:rPr>
                      <w:rFonts w:hint="default" w:ascii="Times New Roman" w:hAnsi="Times New Roman" w:cs="Times New Roman"/>
                      <w:bCs/>
                      <w:color w:val="auto"/>
                      <w:szCs w:val="21"/>
                    </w:rPr>
                  </w:pPr>
                </w:p>
              </w:tc>
              <w:tc>
                <w:tcPr>
                  <w:tcW w:w="622"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第2次</w:t>
                  </w: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78" w:type="pct"/>
                  <w:noWrap w:val="0"/>
                  <w:vAlign w:val="center"/>
                </w:tcPr>
                <w:p>
                  <w:pPr>
                    <w:bidi w:val="0"/>
                    <w:jc w:val="center"/>
                    <w:rPr>
                      <w:rFonts w:hint="default" w:ascii="Times New Roman" w:hAnsi="Times New Roman" w:eastAsia="宋体"/>
                      <w:color w:val="auto"/>
                      <w:kern w:val="2"/>
                      <w:sz w:val="21"/>
                      <w:szCs w:val="24"/>
                      <w:highlight w:val="none"/>
                      <w:lang w:val="en-US" w:eastAsia="zh-CN" w:bidi="ar-SA"/>
                    </w:rPr>
                  </w:pPr>
                </w:p>
              </w:tc>
              <w:tc>
                <w:tcPr>
                  <w:tcW w:w="781" w:type="pct"/>
                  <w:vMerge w:val="continue"/>
                  <w:noWrap w:val="0"/>
                  <w:vAlign w:val="top"/>
                </w:tcPr>
                <w:p>
                  <w:pPr>
                    <w:jc w:val="center"/>
                    <w:rPr>
                      <w:rFonts w:hint="default" w:ascii="Times New Roman" w:hAnsi="Times New Roman" w:eastAsia="宋体" w:cs="Times New Roman"/>
                      <w:color w:val="FF0000"/>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43" w:type="pct"/>
                  <w:vMerge w:val="continue"/>
                  <w:noWrap w:val="0"/>
                  <w:vAlign w:val="center"/>
                </w:tcPr>
                <w:p>
                  <w:pPr>
                    <w:bidi w:val="0"/>
                    <w:jc w:val="center"/>
                    <w:rPr>
                      <w:rFonts w:hint="default" w:ascii="Times New Roman" w:hAnsi="Times New Roman" w:eastAsia="宋体" w:cs="Times New Roman"/>
                      <w:bCs/>
                      <w:sz w:val="21"/>
                      <w:szCs w:val="21"/>
                      <w:lang w:val="en-US" w:eastAsia="zh-CN"/>
                    </w:rPr>
                  </w:pPr>
                </w:p>
              </w:tc>
              <w:tc>
                <w:tcPr>
                  <w:tcW w:w="718" w:type="pct"/>
                  <w:vMerge w:val="continue"/>
                  <w:noWrap w:val="0"/>
                  <w:vAlign w:val="center"/>
                </w:tcPr>
                <w:p>
                  <w:pPr>
                    <w:jc w:val="center"/>
                    <w:rPr>
                      <w:rFonts w:hint="default" w:ascii="Times New Roman" w:hAnsi="Times New Roman" w:cs="Times New Roman"/>
                      <w:color w:val="000000"/>
                      <w:szCs w:val="21"/>
                      <w:lang w:eastAsia="zh-CN"/>
                    </w:rPr>
                  </w:pPr>
                </w:p>
              </w:tc>
              <w:tc>
                <w:tcPr>
                  <w:tcW w:w="677" w:type="pct"/>
                  <w:vMerge w:val="continue"/>
                  <w:noWrap w:val="0"/>
                  <w:vAlign w:val="center"/>
                </w:tcPr>
                <w:p>
                  <w:pPr>
                    <w:jc w:val="center"/>
                    <w:rPr>
                      <w:rFonts w:hint="default" w:ascii="Times New Roman" w:hAnsi="Times New Roman" w:cs="Times New Roman"/>
                      <w:bCs/>
                      <w:color w:val="auto"/>
                      <w:szCs w:val="21"/>
                    </w:rPr>
                  </w:pPr>
                </w:p>
              </w:tc>
              <w:tc>
                <w:tcPr>
                  <w:tcW w:w="622"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第3次</w:t>
                  </w: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78" w:type="pct"/>
                  <w:noWrap w:val="0"/>
                  <w:vAlign w:val="center"/>
                </w:tcPr>
                <w:p>
                  <w:pPr>
                    <w:bidi w:val="0"/>
                    <w:jc w:val="center"/>
                    <w:rPr>
                      <w:rFonts w:hint="default" w:ascii="Times New Roman" w:hAnsi="Times New Roman" w:eastAsia="宋体"/>
                      <w:color w:val="auto"/>
                      <w:kern w:val="2"/>
                      <w:sz w:val="21"/>
                      <w:szCs w:val="24"/>
                      <w:highlight w:val="none"/>
                      <w:lang w:val="en-US" w:eastAsia="zh-CN" w:bidi="ar-SA"/>
                    </w:rPr>
                  </w:pPr>
                </w:p>
              </w:tc>
              <w:tc>
                <w:tcPr>
                  <w:tcW w:w="781" w:type="pct"/>
                  <w:vMerge w:val="continue"/>
                  <w:noWrap w:val="0"/>
                  <w:vAlign w:val="top"/>
                </w:tcPr>
                <w:p>
                  <w:pPr>
                    <w:jc w:val="center"/>
                    <w:rPr>
                      <w:rFonts w:hint="default" w:ascii="Times New Roman" w:hAnsi="Times New Roman" w:eastAsia="宋体" w:cs="Times New Roman"/>
                      <w:color w:val="FF0000"/>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43" w:type="pct"/>
                  <w:vMerge w:val="continue"/>
                  <w:noWrap w:val="0"/>
                  <w:vAlign w:val="center"/>
                </w:tcPr>
                <w:p>
                  <w:pPr>
                    <w:bidi w:val="0"/>
                    <w:jc w:val="center"/>
                    <w:rPr>
                      <w:rFonts w:hint="default" w:ascii="Times New Roman" w:hAnsi="Times New Roman" w:eastAsia="宋体" w:cs="Times New Roman"/>
                      <w:bCs/>
                      <w:sz w:val="21"/>
                      <w:szCs w:val="21"/>
                      <w:lang w:val="en-US" w:eastAsia="zh-CN"/>
                    </w:rPr>
                  </w:pPr>
                </w:p>
              </w:tc>
              <w:tc>
                <w:tcPr>
                  <w:tcW w:w="718" w:type="pct"/>
                  <w:vMerge w:val="continue"/>
                  <w:noWrap w:val="0"/>
                  <w:vAlign w:val="center"/>
                </w:tcPr>
                <w:p>
                  <w:pPr>
                    <w:jc w:val="center"/>
                    <w:rPr>
                      <w:rFonts w:hint="default" w:ascii="Times New Roman" w:hAnsi="Times New Roman" w:cs="Times New Roman"/>
                      <w:color w:val="000000"/>
                      <w:szCs w:val="21"/>
                      <w:lang w:eastAsia="zh-CN"/>
                    </w:rPr>
                  </w:pPr>
                </w:p>
              </w:tc>
              <w:tc>
                <w:tcPr>
                  <w:tcW w:w="677" w:type="pct"/>
                  <w:vMerge w:val="continue"/>
                  <w:noWrap w:val="0"/>
                  <w:vAlign w:val="center"/>
                </w:tcPr>
                <w:p>
                  <w:pPr>
                    <w:jc w:val="center"/>
                    <w:rPr>
                      <w:rFonts w:hint="default" w:ascii="Times New Roman" w:hAnsi="Times New Roman" w:cs="Times New Roman"/>
                      <w:bCs/>
                      <w:color w:val="auto"/>
                      <w:szCs w:val="21"/>
                    </w:rPr>
                  </w:pPr>
                </w:p>
              </w:tc>
              <w:tc>
                <w:tcPr>
                  <w:tcW w:w="622"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平均值</w:t>
                  </w: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highlight w:val="yellow"/>
                      <w:lang w:val="en-US" w:eastAsia="zh-CN" w:bidi="ar-SA"/>
                    </w:rPr>
                  </w:pPr>
                </w:p>
              </w:tc>
              <w:tc>
                <w:tcPr>
                  <w:tcW w:w="781" w:type="pct"/>
                  <w:vMerge w:val="continue"/>
                  <w:noWrap w:val="0"/>
                  <w:vAlign w:val="top"/>
                </w:tcPr>
                <w:p>
                  <w:pPr>
                    <w:jc w:val="center"/>
                    <w:rPr>
                      <w:rFonts w:hint="default" w:ascii="Times New Roman" w:hAnsi="Times New Roman" w:eastAsia="宋体" w:cs="Times New Roman"/>
                      <w:color w:val="FF0000"/>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3440" w:type="pct"/>
                  <w:gridSpan w:val="5"/>
                  <w:noWrap w:val="0"/>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《大气污染物综合排放标准》（GB16297-1996）表2中二级标准</w:t>
                  </w:r>
                </w:p>
              </w:tc>
              <w:tc>
                <w:tcPr>
                  <w:tcW w:w="778" w:type="pct"/>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781" w:type="pct"/>
                  <w:noWrap w:val="0"/>
                  <w:vAlign w:val="top"/>
                </w:tcPr>
                <w:p>
                  <w:pPr>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5.9</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p>
          <w:p>
            <w:pPr>
              <w:pStyle w:val="8"/>
              <w:bidi w:val="0"/>
              <w:rPr>
                <w:rFonts w:hint="default"/>
                <w:lang w:val="en-US" w:eastAsia="zh-CN"/>
              </w:rPr>
            </w:pPr>
            <w:r>
              <w:rPr>
                <w:rFonts w:hint="eastAsia"/>
                <w:lang w:val="en-US" w:eastAsia="zh-CN"/>
              </w:rPr>
              <w:t>7.2.1.2</w:t>
            </w:r>
            <w:r>
              <w:rPr>
                <w:rFonts w:hint="default"/>
                <w:lang w:val="en-US" w:eastAsia="zh-CN"/>
              </w:rPr>
              <w:t>无组织废气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厂界</w:t>
            </w:r>
            <w:r>
              <w:rPr>
                <w:rFonts w:hint="default" w:ascii="Times New Roman" w:hAnsi="Times New Roman" w:cs="Times New Roman"/>
                <w:color w:val="auto"/>
                <w:sz w:val="24"/>
                <w:szCs w:val="24"/>
                <w:highlight w:val="none"/>
                <w:lang w:val="en-US" w:eastAsia="zh-CN"/>
              </w:rPr>
              <w:t>无组织监测结果见表7.2-2</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监测结果</w:t>
            </w:r>
            <w:r>
              <w:rPr>
                <w:rFonts w:hint="default" w:ascii="Times New Roman" w:hAnsi="Times New Roman" w:cs="Times New Roman"/>
                <w:color w:val="auto"/>
                <w:sz w:val="24"/>
                <w:szCs w:val="24"/>
                <w:highlight w:val="none"/>
                <w:lang w:val="en-US" w:eastAsia="zh-CN"/>
              </w:rPr>
              <w:t>显示</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上、下风向厂界无组织中颗粒物</w:t>
            </w:r>
            <w:r>
              <w:rPr>
                <w:rFonts w:hint="eastAsia" w:cs="Times New Roman"/>
                <w:color w:val="auto"/>
                <w:sz w:val="24"/>
                <w:szCs w:val="24"/>
                <w:highlight w:val="none"/>
                <w:lang w:val="en-US" w:eastAsia="zh-CN"/>
              </w:rPr>
              <w:t>浓度</w:t>
            </w:r>
            <w:r>
              <w:rPr>
                <w:rFonts w:hint="eastAsia" w:ascii="Times New Roman" w:hAnsi="Times New Roman" w:cs="Times New Roman"/>
                <w:color w:val="auto"/>
                <w:sz w:val="24"/>
                <w:szCs w:val="24"/>
                <w:highlight w:val="none"/>
                <w:lang w:val="en-US" w:eastAsia="zh-CN"/>
              </w:rPr>
              <w:t>符合</w:t>
            </w:r>
            <w:r>
              <w:rPr>
                <w:rFonts w:hint="default" w:ascii="Times New Roman" w:hAnsi="Times New Roman" w:cs="Times New Roman"/>
                <w:color w:val="auto"/>
                <w:sz w:val="24"/>
                <w:szCs w:val="24"/>
                <w:highlight w:val="none"/>
                <w:lang w:val="en-US" w:eastAsia="zh-CN"/>
              </w:rPr>
              <w:t>《大气污染物综合排放标准》</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GB16297-1996</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表2周界外浓度最高点标准</w:t>
            </w:r>
            <w:r>
              <w:rPr>
                <w:rFonts w:hint="eastAsia" w:cs="Times New Roman"/>
                <w:color w:val="auto"/>
                <w:sz w:val="24"/>
                <w:szCs w:val="24"/>
                <w:highlight w:val="none"/>
                <w:lang w:val="en-US" w:eastAsia="zh-CN"/>
              </w:rPr>
              <w:t>限值</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颗粒物</w:t>
            </w:r>
            <w:r>
              <w:rPr>
                <w:rFonts w:hint="eastAsia" w:ascii="Times New Roman" w:hAnsi="Times New Roman" w:cs="Times New Roman"/>
                <w:color w:val="auto"/>
                <w:sz w:val="24"/>
                <w:szCs w:val="24"/>
                <w:highlight w:val="none"/>
                <w:lang w:val="en-US" w:eastAsia="zh-CN"/>
              </w:rPr>
              <w:t>≤1mg/m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w:t>
            </w:r>
          </w:p>
          <w:p>
            <w:pPr>
              <w:pStyle w:val="9"/>
              <w:bidi w:val="0"/>
              <w:rPr>
                <w:rFonts w:hint="default"/>
                <w:lang w:val="en-US" w:eastAsia="zh-CN"/>
              </w:rPr>
            </w:pPr>
            <w:r>
              <w:rPr>
                <w:rFonts w:hint="default"/>
                <w:lang w:val="en-US" w:eastAsia="zh-CN"/>
              </w:rPr>
              <w:t>表7.2-</w:t>
            </w:r>
            <w:r>
              <w:rPr>
                <w:rFonts w:hint="eastAsia"/>
                <w:lang w:val="en-US" w:eastAsia="zh-CN"/>
              </w:rPr>
              <w:t>2  无</w:t>
            </w:r>
            <w:r>
              <w:rPr>
                <w:rFonts w:hint="default"/>
                <w:lang w:val="en-US" w:eastAsia="zh-CN"/>
              </w:rPr>
              <w:t>组织废气监测结果</w:t>
            </w:r>
            <w:r>
              <w:rPr>
                <w:rFonts w:hint="eastAsia"/>
                <w:lang w:val="en-US" w:eastAsia="zh-CN"/>
              </w:rPr>
              <w:t>一览表</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195"/>
              <w:gridCol w:w="1087"/>
              <w:gridCol w:w="1399"/>
              <w:gridCol w:w="1399"/>
              <w:gridCol w:w="1399"/>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45" w:type="pct"/>
                  <w:vMerge w:val="restart"/>
                  <w:noWrap w:val="0"/>
                  <w:vAlign w:val="center"/>
                </w:tcPr>
                <w:p>
                  <w:pPr>
                    <w:widowControl/>
                    <w:jc w:val="center"/>
                    <w:rPr>
                      <w:rFonts w:hint="default" w:ascii="Times New Roman" w:hAnsi="Times New Roman" w:cs="Times New Roman"/>
                      <w:bCs/>
                      <w:sz w:val="21"/>
                      <w:szCs w:val="21"/>
                    </w:rPr>
                  </w:pPr>
                  <w:r>
                    <w:rPr>
                      <w:rFonts w:hint="default" w:ascii="Times New Roman" w:hAnsi="Times New Roman" w:cs="Times New Roman"/>
                      <w:bCs/>
                      <w:sz w:val="21"/>
                      <w:szCs w:val="21"/>
                    </w:rPr>
                    <w:t>采样日期</w:t>
                  </w:r>
                </w:p>
              </w:tc>
              <w:tc>
                <w:tcPr>
                  <w:tcW w:w="660" w:type="pct"/>
                  <w:vMerge w:val="restart"/>
                  <w:noWrap w:val="0"/>
                  <w:vAlign w:val="center"/>
                </w:tcPr>
                <w:p>
                  <w:pPr>
                    <w:widowControl/>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rPr>
                    <w:t>检测</w:t>
                  </w:r>
                  <w:r>
                    <w:rPr>
                      <w:rFonts w:hint="default" w:ascii="Times New Roman" w:hAnsi="Times New Roman" w:cs="Times New Roman"/>
                      <w:bCs/>
                      <w:sz w:val="21"/>
                      <w:szCs w:val="21"/>
                      <w:lang w:eastAsia="zh-CN"/>
                    </w:rPr>
                    <w:t>项目</w:t>
                  </w:r>
                </w:p>
              </w:tc>
              <w:tc>
                <w:tcPr>
                  <w:tcW w:w="600" w:type="pct"/>
                  <w:vMerge w:val="restart"/>
                  <w:noWrap w:val="0"/>
                  <w:vAlign w:val="center"/>
                </w:tcPr>
                <w:p>
                  <w:pPr>
                    <w:widowControl/>
                    <w:jc w:val="center"/>
                    <w:rPr>
                      <w:rFonts w:hint="default" w:ascii="Times New Roman" w:hAnsi="Times New Roman" w:cs="Times New Roman"/>
                      <w:bCs/>
                      <w:sz w:val="21"/>
                      <w:szCs w:val="21"/>
                      <w:lang w:eastAsia="zh-CN"/>
                    </w:rPr>
                  </w:pPr>
                  <w:r>
                    <w:rPr>
                      <w:rFonts w:hint="default" w:ascii="Times New Roman" w:hAnsi="Times New Roman" w:cs="Times New Roman"/>
                      <w:bCs/>
                      <w:sz w:val="21"/>
                      <w:szCs w:val="21"/>
                      <w:lang w:eastAsia="zh-CN"/>
                    </w:rPr>
                    <w:t>检测</w:t>
                  </w:r>
                </w:p>
                <w:p>
                  <w:pPr>
                    <w:widowControl/>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频次</w:t>
                  </w:r>
                </w:p>
              </w:tc>
              <w:tc>
                <w:tcPr>
                  <w:tcW w:w="3094" w:type="pct"/>
                  <w:gridSpan w:val="4"/>
                  <w:noWrap w:val="0"/>
                  <w:vAlign w:val="center"/>
                </w:tcPr>
                <w:p>
                  <w:pPr>
                    <w:widowControl/>
                    <w:jc w:val="center"/>
                    <w:rPr>
                      <w:rFonts w:hint="eastAsia" w:ascii="Times New Roman" w:hAnsi="Times New Roman" w:eastAsia="宋体" w:cs="Times New Roman"/>
                      <w:bCs/>
                      <w:sz w:val="21"/>
                      <w:szCs w:val="21"/>
                      <w:lang w:eastAsia="zh-CN"/>
                    </w:rPr>
                  </w:pPr>
                  <w:r>
                    <w:rPr>
                      <w:rFonts w:hint="default" w:ascii="Times New Roman" w:hAnsi="Times New Roman" w:cs="Times New Roman"/>
                      <w:bCs/>
                      <w:sz w:val="21"/>
                      <w:szCs w:val="21"/>
                    </w:rPr>
                    <w:t>检测结果</w:t>
                  </w:r>
                  <w:r>
                    <w:rPr>
                      <w:rFonts w:hint="eastAsia" w:ascii="Times New Roman" w:hAnsi="Times New Roman" w:cs="Times New Roman"/>
                      <w:bCs/>
                      <w:sz w:val="21"/>
                      <w:szCs w:val="21"/>
                      <w:lang w:eastAsia="zh-CN"/>
                    </w:rPr>
                    <w:t>（</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eastAsia"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45" w:type="pct"/>
                  <w:vMerge w:val="continue"/>
                  <w:noWrap w:val="0"/>
                  <w:vAlign w:val="center"/>
                </w:tcPr>
                <w:p>
                  <w:pPr>
                    <w:widowControl/>
                    <w:jc w:val="center"/>
                    <w:rPr>
                      <w:rFonts w:hint="default" w:ascii="Times New Roman" w:hAnsi="Times New Roman" w:cs="Times New Roman"/>
                      <w:bCs/>
                      <w:sz w:val="21"/>
                      <w:szCs w:val="21"/>
                    </w:rPr>
                  </w:pPr>
                </w:p>
              </w:tc>
              <w:tc>
                <w:tcPr>
                  <w:tcW w:w="660" w:type="pct"/>
                  <w:vMerge w:val="continue"/>
                  <w:noWrap w:val="0"/>
                  <w:vAlign w:val="center"/>
                </w:tcPr>
                <w:p>
                  <w:pPr>
                    <w:widowControl/>
                    <w:jc w:val="center"/>
                    <w:rPr>
                      <w:rFonts w:hint="default" w:ascii="Times New Roman" w:hAnsi="Times New Roman" w:cs="Times New Roman"/>
                      <w:bCs/>
                      <w:sz w:val="21"/>
                      <w:szCs w:val="21"/>
                    </w:rPr>
                  </w:pPr>
                </w:p>
              </w:tc>
              <w:tc>
                <w:tcPr>
                  <w:tcW w:w="600" w:type="pct"/>
                  <w:vMerge w:val="continue"/>
                  <w:noWrap w:val="0"/>
                  <w:vAlign w:val="center"/>
                </w:tcPr>
                <w:p>
                  <w:pPr>
                    <w:widowControl/>
                    <w:jc w:val="center"/>
                    <w:rPr>
                      <w:rFonts w:hint="default" w:ascii="Times New Roman" w:hAnsi="Times New Roman" w:cs="Times New Roman"/>
                      <w:bCs/>
                      <w:sz w:val="21"/>
                      <w:szCs w:val="21"/>
                    </w:rPr>
                  </w:pPr>
                </w:p>
              </w:tc>
              <w:tc>
                <w:tcPr>
                  <w:tcW w:w="772" w:type="pct"/>
                  <w:noWrap w:val="0"/>
                  <w:vAlign w:val="center"/>
                </w:tcPr>
                <w:p>
                  <w:pPr>
                    <w:widowControl/>
                    <w:jc w:val="center"/>
                    <w:rPr>
                      <w:rFonts w:hint="eastAsia" w:ascii="Times New Roman" w:hAnsi="Times New Roman" w:cs="Times New Roman"/>
                      <w:bCs/>
                      <w:color w:val="auto"/>
                      <w:szCs w:val="21"/>
                      <w:lang w:val="en-US" w:eastAsia="zh-CN"/>
                    </w:rPr>
                  </w:pPr>
                  <w:r>
                    <w:rPr>
                      <w:rFonts w:hint="eastAsia" w:ascii="宋体" w:hAnsi="宋体" w:eastAsia="宋体" w:cs="宋体"/>
                      <w:b w:val="0"/>
                      <w:bCs w:val="0"/>
                      <w:color w:val="auto"/>
                      <w:spacing w:val="0"/>
                      <w:w w:val="100"/>
                      <w:sz w:val="21"/>
                      <w:szCs w:val="21"/>
                      <w:highlight w:val="none"/>
                      <w:vertAlign w:val="baseline"/>
                      <w:lang w:val="en-US" w:eastAsia="zh-CN"/>
                    </w:rPr>
                    <w:t>○</w:t>
                  </w:r>
                  <w:r>
                    <w:rPr>
                      <w:rFonts w:hint="default" w:ascii="Times New Roman" w:hAnsi="Times New Roman" w:eastAsia="宋体" w:cs="Times New Roman"/>
                      <w:b w:val="0"/>
                      <w:bCs w:val="0"/>
                      <w:color w:val="auto"/>
                      <w:spacing w:val="0"/>
                      <w:w w:val="100"/>
                      <w:sz w:val="21"/>
                      <w:szCs w:val="21"/>
                      <w:highlight w:val="none"/>
                      <w:vertAlign w:val="baseline"/>
                      <w:lang w:val="en-US" w:eastAsia="zh-CN"/>
                    </w:rPr>
                    <w:t>1</w:t>
                  </w:r>
                  <w:r>
                    <w:rPr>
                      <w:rFonts w:hint="eastAsia" w:ascii="Times New Roman" w:hAnsi="Times New Roman" w:cs="Times New Roman"/>
                      <w:bCs/>
                      <w:color w:val="auto"/>
                      <w:szCs w:val="21"/>
                      <w:lang w:val="en-US" w:eastAsia="zh-CN"/>
                    </w:rPr>
                    <w:t>厂界</w:t>
                  </w:r>
                </w:p>
                <w:p>
                  <w:pPr>
                    <w:widowControl/>
                    <w:jc w:val="center"/>
                    <w:rPr>
                      <w:rFonts w:hint="default" w:ascii="Times New Roman" w:hAnsi="Times New Roman" w:cs="Times New Roman"/>
                      <w:bCs/>
                      <w:sz w:val="21"/>
                      <w:szCs w:val="21"/>
                    </w:rPr>
                  </w:pPr>
                  <w:r>
                    <w:rPr>
                      <w:rFonts w:hint="eastAsia" w:ascii="Times New Roman" w:hAnsi="Times New Roman" w:cs="Times New Roman"/>
                      <w:bCs/>
                      <w:color w:val="auto"/>
                      <w:szCs w:val="21"/>
                      <w:lang w:val="en-US" w:eastAsia="zh-CN"/>
                    </w:rPr>
                    <w:t>上风向</w:t>
                  </w:r>
                </w:p>
              </w:tc>
              <w:tc>
                <w:tcPr>
                  <w:tcW w:w="772" w:type="pct"/>
                  <w:noWrap w:val="0"/>
                  <w:vAlign w:val="center"/>
                </w:tcPr>
                <w:p>
                  <w:pPr>
                    <w:widowControl/>
                    <w:jc w:val="center"/>
                    <w:rPr>
                      <w:rFonts w:hint="eastAsia" w:ascii="Times New Roman" w:hAnsi="Times New Roman" w:cs="Times New Roman"/>
                      <w:bCs/>
                      <w:color w:val="auto"/>
                      <w:szCs w:val="21"/>
                      <w:lang w:val="en-US" w:eastAsia="zh-CN"/>
                    </w:rPr>
                  </w:pPr>
                  <w:r>
                    <w:rPr>
                      <w:rFonts w:hint="eastAsia" w:ascii="宋体" w:hAnsi="宋体" w:eastAsia="宋体" w:cs="宋体"/>
                      <w:b w:val="0"/>
                      <w:bCs w:val="0"/>
                      <w:color w:val="auto"/>
                      <w:spacing w:val="0"/>
                      <w:w w:val="100"/>
                      <w:sz w:val="21"/>
                      <w:szCs w:val="21"/>
                      <w:highlight w:val="none"/>
                      <w:vertAlign w:val="baseline"/>
                      <w:lang w:val="en-US" w:eastAsia="zh-CN"/>
                    </w:rPr>
                    <w:t>○</w:t>
                  </w:r>
                  <w:r>
                    <w:rPr>
                      <w:rFonts w:hint="eastAsia" w:ascii="Times New Roman" w:hAnsi="Times New Roman" w:cs="Times New Roman"/>
                      <w:bCs/>
                      <w:sz w:val="21"/>
                      <w:szCs w:val="21"/>
                      <w:lang w:val="en-US" w:eastAsia="zh-CN"/>
                    </w:rPr>
                    <w:t>2</w:t>
                  </w:r>
                  <w:r>
                    <w:rPr>
                      <w:rFonts w:hint="eastAsia" w:ascii="Times New Roman" w:hAnsi="Times New Roman" w:cs="Times New Roman"/>
                      <w:bCs/>
                      <w:color w:val="auto"/>
                      <w:szCs w:val="21"/>
                      <w:lang w:val="en-US" w:eastAsia="zh-CN"/>
                    </w:rPr>
                    <w:t>厂界</w:t>
                  </w:r>
                </w:p>
                <w:p>
                  <w:pPr>
                    <w:widowControl/>
                    <w:jc w:val="center"/>
                    <w:rPr>
                      <w:rFonts w:hint="default" w:ascii="Times New Roman" w:hAnsi="Times New Roman" w:cs="Times New Roman"/>
                      <w:bCs/>
                      <w:sz w:val="21"/>
                      <w:szCs w:val="21"/>
                    </w:rPr>
                  </w:pPr>
                  <w:r>
                    <w:rPr>
                      <w:rFonts w:hint="eastAsia" w:ascii="Times New Roman" w:hAnsi="Times New Roman" w:cs="Times New Roman"/>
                      <w:bCs/>
                      <w:color w:val="auto"/>
                      <w:szCs w:val="21"/>
                      <w:lang w:val="en-US" w:eastAsia="zh-CN"/>
                    </w:rPr>
                    <w:t>下风向</w:t>
                  </w:r>
                </w:p>
              </w:tc>
              <w:tc>
                <w:tcPr>
                  <w:tcW w:w="772" w:type="pct"/>
                  <w:noWrap w:val="0"/>
                  <w:vAlign w:val="center"/>
                </w:tcPr>
                <w:p>
                  <w:pPr>
                    <w:widowControl/>
                    <w:jc w:val="center"/>
                    <w:rPr>
                      <w:rFonts w:hint="eastAsia" w:ascii="Times New Roman" w:hAnsi="Times New Roman" w:cs="Times New Roman"/>
                      <w:bCs/>
                      <w:color w:val="auto"/>
                      <w:szCs w:val="21"/>
                      <w:lang w:val="en-US" w:eastAsia="zh-CN"/>
                    </w:rPr>
                  </w:pPr>
                  <w:r>
                    <w:rPr>
                      <w:rFonts w:hint="eastAsia" w:ascii="宋体" w:hAnsi="宋体" w:eastAsia="宋体" w:cs="宋体"/>
                      <w:b w:val="0"/>
                      <w:bCs w:val="0"/>
                      <w:color w:val="auto"/>
                      <w:spacing w:val="0"/>
                      <w:w w:val="100"/>
                      <w:sz w:val="21"/>
                      <w:szCs w:val="21"/>
                      <w:highlight w:val="none"/>
                      <w:vertAlign w:val="baseline"/>
                      <w:lang w:val="en-US" w:eastAsia="zh-CN"/>
                    </w:rPr>
                    <w:t>○</w:t>
                  </w:r>
                  <w:r>
                    <w:rPr>
                      <w:rFonts w:hint="eastAsia" w:ascii="Times New Roman" w:hAnsi="Times New Roman" w:cs="Times New Roman"/>
                      <w:bCs/>
                      <w:sz w:val="21"/>
                      <w:szCs w:val="21"/>
                      <w:lang w:val="en-US" w:eastAsia="zh-CN"/>
                    </w:rPr>
                    <w:t>3</w:t>
                  </w:r>
                  <w:r>
                    <w:rPr>
                      <w:rFonts w:hint="eastAsia" w:ascii="Times New Roman" w:hAnsi="Times New Roman" w:cs="Times New Roman"/>
                      <w:bCs/>
                      <w:color w:val="auto"/>
                      <w:szCs w:val="21"/>
                      <w:lang w:val="en-US" w:eastAsia="zh-CN"/>
                    </w:rPr>
                    <w:t>厂界</w:t>
                  </w:r>
                </w:p>
                <w:p>
                  <w:pPr>
                    <w:widowControl/>
                    <w:jc w:val="center"/>
                    <w:rPr>
                      <w:rFonts w:hint="default" w:ascii="Times New Roman" w:hAnsi="Times New Roman" w:cs="Times New Roman"/>
                      <w:bCs/>
                      <w:sz w:val="21"/>
                      <w:szCs w:val="21"/>
                    </w:rPr>
                  </w:pPr>
                  <w:r>
                    <w:rPr>
                      <w:rFonts w:hint="eastAsia" w:ascii="Times New Roman" w:hAnsi="Times New Roman" w:cs="Times New Roman"/>
                      <w:bCs/>
                      <w:color w:val="auto"/>
                      <w:szCs w:val="21"/>
                      <w:lang w:val="en-US" w:eastAsia="zh-CN"/>
                    </w:rPr>
                    <w:t>下风向</w:t>
                  </w:r>
                </w:p>
              </w:tc>
              <w:tc>
                <w:tcPr>
                  <w:tcW w:w="777" w:type="pct"/>
                  <w:noWrap w:val="0"/>
                  <w:vAlign w:val="center"/>
                </w:tcPr>
                <w:p>
                  <w:pPr>
                    <w:widowControl/>
                    <w:jc w:val="center"/>
                    <w:rPr>
                      <w:rFonts w:hint="eastAsia" w:ascii="Times New Roman" w:hAnsi="Times New Roman" w:cs="Times New Roman"/>
                      <w:bCs/>
                      <w:color w:val="auto"/>
                      <w:szCs w:val="21"/>
                      <w:lang w:val="en-US" w:eastAsia="zh-CN"/>
                    </w:rPr>
                  </w:pPr>
                  <w:r>
                    <w:rPr>
                      <w:rFonts w:hint="eastAsia" w:ascii="宋体" w:hAnsi="宋体" w:eastAsia="宋体" w:cs="宋体"/>
                      <w:b w:val="0"/>
                      <w:bCs w:val="0"/>
                      <w:color w:val="auto"/>
                      <w:spacing w:val="0"/>
                      <w:w w:val="100"/>
                      <w:sz w:val="21"/>
                      <w:szCs w:val="21"/>
                      <w:highlight w:val="none"/>
                      <w:vertAlign w:val="baseline"/>
                      <w:lang w:val="en-US" w:eastAsia="zh-CN"/>
                    </w:rPr>
                    <w:t>○</w:t>
                  </w:r>
                  <w:r>
                    <w:rPr>
                      <w:rFonts w:hint="eastAsia" w:ascii="Times New Roman" w:hAnsi="Times New Roman" w:cs="Times New Roman"/>
                      <w:bCs/>
                      <w:sz w:val="21"/>
                      <w:szCs w:val="21"/>
                      <w:lang w:val="en-US" w:eastAsia="zh-CN"/>
                    </w:rPr>
                    <w:t>4</w:t>
                  </w:r>
                  <w:r>
                    <w:rPr>
                      <w:rFonts w:hint="eastAsia" w:ascii="Times New Roman" w:hAnsi="Times New Roman" w:cs="Times New Roman"/>
                      <w:bCs/>
                      <w:color w:val="auto"/>
                      <w:szCs w:val="21"/>
                      <w:lang w:val="en-US" w:eastAsia="zh-CN"/>
                    </w:rPr>
                    <w:t>厂界</w:t>
                  </w:r>
                </w:p>
                <w:p>
                  <w:pPr>
                    <w:widowControl/>
                    <w:jc w:val="center"/>
                    <w:rPr>
                      <w:rFonts w:hint="default" w:ascii="Times New Roman" w:hAnsi="Times New Roman" w:cs="Times New Roman"/>
                      <w:bCs/>
                      <w:sz w:val="21"/>
                      <w:szCs w:val="21"/>
                    </w:rPr>
                  </w:pPr>
                  <w:r>
                    <w:rPr>
                      <w:rFonts w:hint="eastAsia" w:ascii="Times New Roman" w:hAnsi="Times New Roman" w:cs="Times New Roman"/>
                      <w:bCs/>
                      <w:color w:val="auto"/>
                      <w:szCs w:val="21"/>
                      <w:lang w:val="en-US" w:eastAsia="zh-CN"/>
                    </w:rPr>
                    <w:t>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45" w:type="pct"/>
                  <w:vMerge w:val="restart"/>
                  <w:noWrap w:val="0"/>
                  <w:vAlign w:val="center"/>
                </w:tcPr>
                <w:p>
                  <w:pPr>
                    <w:ind w:right="-78" w:rightChars="-37"/>
                    <w:jc w:val="center"/>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202</w:t>
                  </w:r>
                  <w:r>
                    <w:rPr>
                      <w:rFonts w:hint="eastAsia" w:ascii="Times New Roman" w:hAnsi="Times New Roman" w:eastAsia="宋体" w:cs="Times New Roman"/>
                      <w:color w:val="auto"/>
                      <w:spacing w:val="0"/>
                      <w:sz w:val="21"/>
                      <w:szCs w:val="21"/>
                      <w:lang w:val="en-US" w:eastAsia="zh-CN"/>
                    </w:rPr>
                    <w:t>5</w:t>
                  </w:r>
                  <w:r>
                    <w:rPr>
                      <w:rFonts w:hint="default" w:ascii="Times New Roman" w:hAnsi="Times New Roman" w:eastAsia="宋体" w:cs="Times New Roman"/>
                      <w:color w:val="auto"/>
                      <w:spacing w:val="0"/>
                      <w:sz w:val="21"/>
                      <w:szCs w:val="21"/>
                      <w:lang w:eastAsia="zh-CN"/>
                    </w:rPr>
                    <w:t>年</w:t>
                  </w:r>
                </w:p>
                <w:p>
                  <w:pPr>
                    <w:widowControl/>
                    <w:jc w:val="center"/>
                    <w:rPr>
                      <w:rFonts w:hint="default" w:ascii="Times New Roman" w:hAnsi="Times New Roman" w:cs="Times New Roman"/>
                      <w:bCs/>
                      <w:sz w:val="21"/>
                      <w:szCs w:val="21"/>
                    </w:rPr>
                  </w:pPr>
                  <w:r>
                    <w:rPr>
                      <w:rFonts w:hint="eastAsia" w:ascii="Times New Roman" w:hAnsi="Times New Roman" w:eastAsia="宋体" w:cs="Times New Roman"/>
                      <w:color w:val="auto"/>
                      <w:spacing w:val="0"/>
                      <w:sz w:val="21"/>
                      <w:szCs w:val="21"/>
                      <w:lang w:val="en-US" w:eastAsia="zh-CN"/>
                    </w:rPr>
                    <w:t>10</w:t>
                  </w:r>
                  <w:r>
                    <w:rPr>
                      <w:rFonts w:hint="default" w:ascii="Times New Roman" w:hAnsi="Times New Roman" w:eastAsia="宋体" w:cs="Times New Roman"/>
                      <w:color w:val="auto"/>
                      <w:spacing w:val="0"/>
                      <w:sz w:val="21"/>
                      <w:szCs w:val="21"/>
                      <w:lang w:val="en-US" w:eastAsia="zh-CN"/>
                    </w:rPr>
                    <w:t>月</w:t>
                  </w:r>
                  <w:r>
                    <w:rPr>
                      <w:rFonts w:hint="eastAsia" w:ascii="Times New Roman" w:hAnsi="Times New Roman" w:eastAsia="宋体" w:cs="Times New Roman"/>
                      <w:color w:val="auto"/>
                      <w:spacing w:val="0"/>
                      <w:sz w:val="21"/>
                      <w:szCs w:val="21"/>
                      <w:lang w:val="en-US" w:eastAsia="zh-CN"/>
                    </w:rPr>
                    <w:t>16</w:t>
                  </w:r>
                  <w:r>
                    <w:rPr>
                      <w:rFonts w:hint="default" w:ascii="Times New Roman" w:hAnsi="Times New Roman" w:eastAsia="宋体" w:cs="Times New Roman"/>
                      <w:color w:val="auto"/>
                      <w:spacing w:val="0"/>
                      <w:sz w:val="21"/>
                      <w:szCs w:val="21"/>
                      <w:lang w:val="en-US" w:eastAsia="zh-CN"/>
                    </w:rPr>
                    <w:t>日</w:t>
                  </w:r>
                </w:p>
              </w:tc>
              <w:tc>
                <w:tcPr>
                  <w:tcW w:w="660" w:type="pct"/>
                  <w:vMerge w:val="restart"/>
                  <w:noWrap w:val="0"/>
                  <w:vAlign w:val="center"/>
                </w:tcPr>
                <w:p>
                  <w:pPr>
                    <w:jc w:val="center"/>
                    <w:rPr>
                      <w:rFonts w:hint="default" w:ascii="Times New Roman" w:hAnsi="Times New Roman" w:cs="Times New Roman"/>
                      <w:sz w:val="21"/>
                      <w:szCs w:val="21"/>
                    </w:rPr>
                  </w:pPr>
                  <w:r>
                    <w:rPr>
                      <w:rFonts w:hint="eastAsia" w:ascii="Times New Roman" w:hAnsi="Times New Roman" w:cs="Times New Roman"/>
                      <w:color w:val="auto"/>
                      <w:spacing w:val="0"/>
                      <w:sz w:val="21"/>
                      <w:szCs w:val="21"/>
                      <w:lang w:val="en-US" w:eastAsia="zh-CN"/>
                    </w:rPr>
                    <w:t>颗粒物</w:t>
                  </w:r>
                </w:p>
              </w:tc>
              <w:tc>
                <w:tcPr>
                  <w:tcW w:w="600"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第</w:t>
                  </w:r>
                  <w:r>
                    <w:rPr>
                      <w:rFonts w:hint="default" w:ascii="Times New Roman" w:hAnsi="Times New Roman" w:cs="Times New Roman"/>
                      <w:sz w:val="21"/>
                      <w:szCs w:val="21"/>
                      <w:lang w:val="en-US" w:eastAsia="zh-CN"/>
                    </w:rPr>
                    <w:t>1次</w:t>
                  </w: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7" w:type="pct"/>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45" w:type="pct"/>
                  <w:vMerge w:val="continue"/>
                  <w:noWrap w:val="0"/>
                  <w:vAlign w:val="center"/>
                </w:tcPr>
                <w:p>
                  <w:pPr>
                    <w:jc w:val="center"/>
                    <w:rPr>
                      <w:rFonts w:hint="default" w:ascii="Times New Roman" w:hAnsi="Times New Roman" w:cs="Times New Roman"/>
                      <w:sz w:val="21"/>
                      <w:szCs w:val="21"/>
                    </w:rPr>
                  </w:pPr>
                </w:p>
              </w:tc>
              <w:tc>
                <w:tcPr>
                  <w:tcW w:w="660" w:type="pct"/>
                  <w:vMerge w:val="continue"/>
                  <w:noWrap w:val="0"/>
                  <w:vAlign w:val="center"/>
                </w:tcPr>
                <w:p>
                  <w:pPr>
                    <w:jc w:val="center"/>
                    <w:rPr>
                      <w:rFonts w:hint="default" w:ascii="Times New Roman" w:hAnsi="Times New Roman" w:cs="Times New Roman"/>
                      <w:sz w:val="21"/>
                      <w:szCs w:val="21"/>
                    </w:rPr>
                  </w:pPr>
                </w:p>
              </w:tc>
              <w:tc>
                <w:tcPr>
                  <w:tcW w:w="600"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第</w:t>
                  </w:r>
                  <w:r>
                    <w:rPr>
                      <w:rFonts w:hint="default" w:ascii="Times New Roman" w:hAnsi="Times New Roman" w:cs="Times New Roman"/>
                      <w:sz w:val="21"/>
                      <w:szCs w:val="21"/>
                      <w:lang w:val="en-US" w:eastAsia="zh-CN"/>
                    </w:rPr>
                    <w:t>2次</w:t>
                  </w: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7" w:type="pct"/>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45" w:type="pct"/>
                  <w:vMerge w:val="continue"/>
                  <w:noWrap w:val="0"/>
                  <w:vAlign w:val="center"/>
                </w:tcPr>
                <w:p>
                  <w:pPr>
                    <w:jc w:val="center"/>
                    <w:rPr>
                      <w:rFonts w:hint="default" w:ascii="Times New Roman" w:hAnsi="Times New Roman" w:cs="Times New Roman"/>
                      <w:sz w:val="21"/>
                      <w:szCs w:val="21"/>
                    </w:rPr>
                  </w:pPr>
                </w:p>
              </w:tc>
              <w:tc>
                <w:tcPr>
                  <w:tcW w:w="660" w:type="pct"/>
                  <w:vMerge w:val="continue"/>
                  <w:noWrap w:val="0"/>
                  <w:vAlign w:val="center"/>
                </w:tcPr>
                <w:p>
                  <w:pPr>
                    <w:jc w:val="center"/>
                    <w:rPr>
                      <w:rFonts w:hint="default" w:ascii="Times New Roman" w:hAnsi="Times New Roman" w:cs="Times New Roman"/>
                      <w:sz w:val="21"/>
                      <w:szCs w:val="21"/>
                    </w:rPr>
                  </w:pPr>
                </w:p>
              </w:tc>
              <w:tc>
                <w:tcPr>
                  <w:tcW w:w="600" w:type="pct"/>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w:t>
                  </w:r>
                  <w:r>
                    <w:rPr>
                      <w:rFonts w:hint="default" w:ascii="Times New Roman" w:hAnsi="Times New Roman" w:cs="Times New Roman"/>
                      <w:sz w:val="21"/>
                      <w:szCs w:val="21"/>
                      <w:lang w:val="en-US" w:eastAsia="zh-CN"/>
                    </w:rPr>
                    <w:t>3次</w:t>
                  </w: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7" w:type="pct"/>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45" w:type="pct"/>
                  <w:vMerge w:val="restart"/>
                  <w:noWrap w:val="0"/>
                  <w:vAlign w:val="center"/>
                </w:tcPr>
                <w:p>
                  <w:pPr>
                    <w:ind w:right="-78" w:rightChars="-37"/>
                    <w:jc w:val="center"/>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202</w:t>
                  </w:r>
                  <w:r>
                    <w:rPr>
                      <w:rFonts w:hint="eastAsia" w:ascii="Times New Roman" w:hAnsi="Times New Roman" w:eastAsia="宋体" w:cs="Times New Roman"/>
                      <w:color w:val="auto"/>
                      <w:spacing w:val="0"/>
                      <w:sz w:val="21"/>
                      <w:szCs w:val="21"/>
                      <w:lang w:val="en-US" w:eastAsia="zh-CN"/>
                    </w:rPr>
                    <w:t>5</w:t>
                  </w:r>
                  <w:r>
                    <w:rPr>
                      <w:rFonts w:hint="default" w:ascii="Times New Roman" w:hAnsi="Times New Roman" w:eastAsia="宋体" w:cs="Times New Roman"/>
                      <w:color w:val="auto"/>
                      <w:spacing w:val="0"/>
                      <w:sz w:val="21"/>
                      <w:szCs w:val="21"/>
                      <w:lang w:eastAsia="zh-CN"/>
                    </w:rPr>
                    <w:t>年</w:t>
                  </w:r>
                </w:p>
                <w:p>
                  <w:pPr>
                    <w:widowControl/>
                    <w:jc w:val="center"/>
                    <w:rPr>
                      <w:rFonts w:hint="default" w:ascii="Times New Roman" w:hAnsi="Times New Roman" w:cs="Times New Roman"/>
                      <w:bCs/>
                      <w:sz w:val="21"/>
                      <w:szCs w:val="21"/>
                    </w:rPr>
                  </w:pPr>
                  <w:r>
                    <w:rPr>
                      <w:rFonts w:hint="eastAsia" w:ascii="Times New Roman" w:hAnsi="Times New Roman" w:eastAsia="宋体" w:cs="Times New Roman"/>
                      <w:color w:val="auto"/>
                      <w:spacing w:val="0"/>
                      <w:sz w:val="21"/>
                      <w:szCs w:val="21"/>
                      <w:lang w:val="en-US" w:eastAsia="zh-CN"/>
                    </w:rPr>
                    <w:t>10</w:t>
                  </w:r>
                  <w:r>
                    <w:rPr>
                      <w:rFonts w:hint="default" w:ascii="Times New Roman" w:hAnsi="Times New Roman" w:eastAsia="宋体" w:cs="Times New Roman"/>
                      <w:color w:val="auto"/>
                      <w:spacing w:val="0"/>
                      <w:sz w:val="21"/>
                      <w:szCs w:val="21"/>
                      <w:lang w:val="en-US" w:eastAsia="zh-CN"/>
                    </w:rPr>
                    <w:t>月</w:t>
                  </w:r>
                  <w:r>
                    <w:rPr>
                      <w:rFonts w:hint="eastAsia" w:ascii="Times New Roman" w:hAnsi="Times New Roman" w:eastAsia="宋体" w:cs="Times New Roman"/>
                      <w:color w:val="auto"/>
                      <w:spacing w:val="0"/>
                      <w:sz w:val="21"/>
                      <w:szCs w:val="21"/>
                      <w:lang w:val="en-US" w:eastAsia="zh-CN"/>
                    </w:rPr>
                    <w:t>17</w:t>
                  </w:r>
                  <w:r>
                    <w:rPr>
                      <w:rFonts w:hint="default" w:ascii="Times New Roman" w:hAnsi="Times New Roman" w:eastAsia="宋体" w:cs="Times New Roman"/>
                      <w:color w:val="auto"/>
                      <w:spacing w:val="0"/>
                      <w:sz w:val="21"/>
                      <w:szCs w:val="21"/>
                      <w:lang w:val="en-US" w:eastAsia="zh-CN"/>
                    </w:rPr>
                    <w:t>日</w:t>
                  </w:r>
                </w:p>
              </w:tc>
              <w:tc>
                <w:tcPr>
                  <w:tcW w:w="660" w:type="pct"/>
                  <w:vMerge w:val="restart"/>
                  <w:noWrap w:val="0"/>
                  <w:vAlign w:val="center"/>
                </w:tcPr>
                <w:p>
                  <w:pPr>
                    <w:jc w:val="center"/>
                    <w:rPr>
                      <w:rFonts w:hint="default" w:ascii="Times New Roman" w:hAnsi="Times New Roman" w:cs="Times New Roman"/>
                      <w:sz w:val="21"/>
                      <w:szCs w:val="21"/>
                    </w:rPr>
                  </w:pPr>
                  <w:r>
                    <w:rPr>
                      <w:rFonts w:hint="eastAsia" w:ascii="Times New Roman" w:hAnsi="Times New Roman" w:cs="Times New Roman"/>
                      <w:color w:val="auto"/>
                      <w:spacing w:val="0"/>
                      <w:sz w:val="21"/>
                      <w:szCs w:val="21"/>
                      <w:lang w:val="en-US" w:eastAsia="zh-CN"/>
                    </w:rPr>
                    <w:t>颗粒物</w:t>
                  </w:r>
                </w:p>
              </w:tc>
              <w:tc>
                <w:tcPr>
                  <w:tcW w:w="600"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第</w:t>
                  </w:r>
                  <w:r>
                    <w:rPr>
                      <w:rFonts w:hint="default" w:ascii="Times New Roman" w:hAnsi="Times New Roman" w:cs="Times New Roman"/>
                      <w:sz w:val="21"/>
                      <w:szCs w:val="21"/>
                      <w:lang w:val="en-US" w:eastAsia="zh-CN"/>
                    </w:rPr>
                    <w:t>1次</w:t>
                  </w: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7" w:type="pct"/>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45" w:type="pct"/>
                  <w:vMerge w:val="continue"/>
                  <w:noWrap w:val="0"/>
                  <w:vAlign w:val="center"/>
                </w:tcPr>
                <w:p>
                  <w:pPr>
                    <w:jc w:val="center"/>
                    <w:rPr>
                      <w:rFonts w:hint="default" w:ascii="Times New Roman" w:hAnsi="Times New Roman" w:cs="Times New Roman"/>
                      <w:sz w:val="21"/>
                      <w:szCs w:val="21"/>
                    </w:rPr>
                  </w:pPr>
                </w:p>
              </w:tc>
              <w:tc>
                <w:tcPr>
                  <w:tcW w:w="660" w:type="pct"/>
                  <w:vMerge w:val="continue"/>
                  <w:noWrap w:val="0"/>
                  <w:vAlign w:val="center"/>
                </w:tcPr>
                <w:p>
                  <w:pPr>
                    <w:jc w:val="center"/>
                    <w:rPr>
                      <w:rFonts w:hint="default" w:ascii="Times New Roman" w:hAnsi="Times New Roman" w:cs="Times New Roman"/>
                      <w:sz w:val="21"/>
                      <w:szCs w:val="21"/>
                    </w:rPr>
                  </w:pPr>
                </w:p>
              </w:tc>
              <w:tc>
                <w:tcPr>
                  <w:tcW w:w="600"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第</w:t>
                  </w:r>
                  <w:r>
                    <w:rPr>
                      <w:rFonts w:hint="default" w:ascii="Times New Roman" w:hAnsi="Times New Roman" w:cs="Times New Roman"/>
                      <w:sz w:val="21"/>
                      <w:szCs w:val="21"/>
                      <w:lang w:val="en-US" w:eastAsia="zh-CN"/>
                    </w:rPr>
                    <w:t>2次</w:t>
                  </w: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7" w:type="pct"/>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45" w:type="pct"/>
                  <w:vMerge w:val="continue"/>
                  <w:noWrap w:val="0"/>
                  <w:vAlign w:val="center"/>
                </w:tcPr>
                <w:p>
                  <w:pPr>
                    <w:jc w:val="center"/>
                    <w:rPr>
                      <w:rFonts w:hint="default" w:ascii="Times New Roman" w:hAnsi="Times New Roman" w:cs="Times New Roman"/>
                      <w:sz w:val="21"/>
                      <w:szCs w:val="21"/>
                    </w:rPr>
                  </w:pPr>
                </w:p>
              </w:tc>
              <w:tc>
                <w:tcPr>
                  <w:tcW w:w="660" w:type="pct"/>
                  <w:vMerge w:val="continue"/>
                  <w:noWrap w:val="0"/>
                  <w:vAlign w:val="center"/>
                </w:tcPr>
                <w:p>
                  <w:pPr>
                    <w:jc w:val="center"/>
                    <w:rPr>
                      <w:rFonts w:hint="default" w:ascii="Times New Roman" w:hAnsi="Times New Roman" w:cs="Times New Roman"/>
                      <w:sz w:val="21"/>
                      <w:szCs w:val="21"/>
                    </w:rPr>
                  </w:pPr>
                </w:p>
              </w:tc>
              <w:tc>
                <w:tcPr>
                  <w:tcW w:w="600" w:type="pct"/>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w:t>
                  </w:r>
                  <w:r>
                    <w:rPr>
                      <w:rFonts w:hint="default" w:ascii="Times New Roman" w:hAnsi="Times New Roman" w:cs="Times New Roman"/>
                      <w:sz w:val="21"/>
                      <w:szCs w:val="21"/>
                      <w:lang w:val="en-US" w:eastAsia="zh-CN"/>
                    </w:rPr>
                    <w:t>3次</w:t>
                  </w: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2" w:type="pct"/>
                  <w:noWrap w:val="0"/>
                  <w:vAlign w:val="center"/>
                </w:tcPr>
                <w:p>
                  <w:pPr>
                    <w:jc w:val="center"/>
                    <w:rPr>
                      <w:rFonts w:hint="default" w:ascii="Times New Roman" w:hAnsi="Times New Roman" w:eastAsia="宋体" w:cs="Times New Roman"/>
                      <w:color w:val="auto"/>
                      <w:sz w:val="21"/>
                      <w:szCs w:val="21"/>
                      <w:lang w:val="en-US" w:eastAsia="zh-CN"/>
                    </w:rPr>
                  </w:pPr>
                </w:p>
              </w:tc>
              <w:tc>
                <w:tcPr>
                  <w:tcW w:w="777" w:type="pct"/>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905" w:type="pct"/>
                  <w:gridSpan w:val="3"/>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《大气污染物综合排放标准》（GB16297-1996）表2周界外浓度最高点标准限值</w:t>
                  </w:r>
                </w:p>
              </w:tc>
              <w:tc>
                <w:tcPr>
                  <w:tcW w:w="3094" w:type="pct"/>
                  <w:gridSpan w:val="4"/>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auto"/>
                <w:sz w:val="24"/>
                <w:szCs w:val="24"/>
                <w:highlight w:val="none"/>
                <w:lang w:val="en-US" w:eastAsia="zh-CN"/>
              </w:rPr>
            </w:pPr>
          </w:p>
          <w:p>
            <w:pPr>
              <w:pStyle w:val="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7.2.2废水监测结果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废水监测结果见表7.2-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，监测结果显示，</w:t>
            </w:r>
            <w:r>
              <w:rPr>
                <w:rFonts w:hint="eastAsia" w:cs="Times New Roman"/>
                <w:color w:val="auto"/>
                <w:sz w:val="24"/>
                <w:szCs w:val="24"/>
                <w:highlight w:val="none"/>
                <w:lang w:val="en-US" w:eastAsia="zh-CN"/>
              </w:rPr>
              <w:t>厂区排放</w:t>
            </w:r>
            <w:r>
              <w:rPr>
                <w:rFonts w:hint="eastAsia" w:ascii="Times New Roman" w:hAnsi="Times New Roman" w:eastAsia="宋体" w:cs="Times New Roman"/>
                <w:color w:val="auto"/>
                <w:sz w:val="24"/>
                <w:szCs w:val="24"/>
                <w:highlight w:val="none"/>
                <w:lang w:val="en-US" w:eastAsia="zh-CN"/>
              </w:rPr>
              <w:t>废水pH、悬浮物、COD</w:t>
            </w:r>
            <w:r>
              <w:rPr>
                <w:rFonts w:hint="eastAsia" w:cs="Times New Roman"/>
                <w:color w:val="auto"/>
                <w:sz w:val="24"/>
                <w:szCs w:val="24"/>
                <w:highlight w:val="none"/>
                <w:lang w:val="en-US" w:eastAsia="zh-CN"/>
              </w:rPr>
              <w:t>、BOD</w:t>
            </w:r>
            <w:r>
              <w:rPr>
                <w:rFonts w:hint="eastAsia"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符合《污水综合排放标准》（GB8978-1996）表4三级排放标准</w:t>
            </w:r>
            <w:r>
              <w:rPr>
                <w:rFonts w:hint="eastAsia" w:ascii="Times New Roman" w:hAnsi="Times New Roman" w:cs="Times New Roman"/>
                <w:color w:val="auto"/>
                <w:sz w:val="24"/>
                <w:szCs w:val="24"/>
                <w:highlight w:val="none"/>
                <w:lang w:val="en-US" w:eastAsia="zh-CN"/>
              </w:rPr>
              <w:t>（6≤pH≤9、悬浮物≤400mg/L、COD≤500mg/L</w:t>
            </w:r>
            <w:r>
              <w:rPr>
                <w:rFonts w:hint="eastAsia" w:cs="Times New Roman"/>
                <w:color w:val="auto"/>
                <w:sz w:val="24"/>
                <w:szCs w:val="24"/>
                <w:highlight w:val="none"/>
                <w:lang w:val="en-US" w:eastAsia="zh-CN"/>
              </w:rPr>
              <w:t>、BOD</w:t>
            </w:r>
            <w:r>
              <w:rPr>
                <w:rFonts w:hint="eastAsia"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≤300mg/L）</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氨氮</w:t>
            </w:r>
            <w:r>
              <w:rPr>
                <w:rFonts w:hint="eastAsia" w:cs="Times New Roman"/>
                <w:color w:val="auto"/>
                <w:sz w:val="24"/>
                <w:szCs w:val="24"/>
                <w:highlight w:val="none"/>
                <w:lang w:val="en-US" w:eastAsia="zh-CN"/>
              </w:rPr>
              <w:t>、总磷</w:t>
            </w:r>
            <w:r>
              <w:rPr>
                <w:rFonts w:hint="eastAsia" w:ascii="Times New Roman" w:hAnsi="Times New Roman" w:eastAsia="宋体" w:cs="Times New Roman"/>
                <w:color w:val="auto"/>
                <w:sz w:val="24"/>
                <w:szCs w:val="24"/>
                <w:highlight w:val="none"/>
                <w:lang w:val="en-US" w:eastAsia="zh-CN"/>
              </w:rPr>
              <w:t>符合《污水排入城镇下水道水质标准》（GB/T31962-2015）中B级标准</w:t>
            </w:r>
            <w:r>
              <w:rPr>
                <w:rFonts w:hint="eastAsia" w:ascii="Times New Roman" w:hAnsi="Times New Roman" w:cs="Times New Roman"/>
                <w:color w:val="auto"/>
                <w:sz w:val="24"/>
                <w:szCs w:val="24"/>
                <w:highlight w:val="none"/>
                <w:lang w:val="en-US" w:eastAsia="zh-CN"/>
              </w:rPr>
              <w:t>（氨氮≤45mg/L</w:t>
            </w:r>
            <w:r>
              <w:rPr>
                <w:rFonts w:hint="eastAsia" w:cs="Times New Roman"/>
                <w:color w:val="auto"/>
                <w:sz w:val="24"/>
                <w:szCs w:val="24"/>
                <w:highlight w:val="none"/>
                <w:lang w:val="en-US" w:eastAsia="zh-CN"/>
              </w:rPr>
              <w:t>、总磷</w:t>
            </w:r>
            <w:r>
              <w:rPr>
                <w:rFonts w:hint="eastAsia" w:ascii="Times New Roman" w:hAnsi="Times New Roman" w:cs="Times New Roman"/>
                <w:color w:val="auto"/>
                <w:sz w:val="24"/>
                <w:szCs w:val="24"/>
                <w:highlight w:val="none"/>
                <w:lang w:val="en-US" w:eastAsia="zh-CN"/>
              </w:rPr>
              <w:t>≤8mg/L）</w:t>
            </w:r>
            <w:r>
              <w:rPr>
                <w:rFonts w:hint="eastAsia" w:cs="Times New Roman"/>
                <w:color w:val="auto"/>
                <w:sz w:val="24"/>
                <w:szCs w:val="24"/>
                <w:highlight w:val="none"/>
                <w:lang w:val="en-US" w:eastAsia="zh-CN"/>
              </w:rPr>
              <w:t>；厂区排放</w:t>
            </w:r>
            <w:r>
              <w:rPr>
                <w:rFonts w:hint="eastAsia" w:ascii="Times New Roman" w:hAnsi="Times New Roman" w:eastAsia="宋体" w:cs="Times New Roman"/>
                <w:color w:val="auto"/>
                <w:sz w:val="24"/>
                <w:szCs w:val="24"/>
                <w:highlight w:val="none"/>
                <w:lang w:val="en-US" w:eastAsia="zh-CN"/>
              </w:rPr>
              <w:t>废水同时符合排污许可证中排水协议规定的浓度限值（</w:t>
            </w:r>
            <w:r>
              <w:rPr>
                <w:rFonts w:hint="eastAsia" w:ascii="Times New Roman" w:hAnsi="Times New Roman" w:cs="Times New Roman"/>
                <w:color w:val="auto"/>
                <w:sz w:val="24"/>
                <w:szCs w:val="24"/>
                <w:highlight w:val="none"/>
                <w:lang w:val="en-US" w:eastAsia="zh-CN"/>
              </w:rPr>
              <w:t>6≤pH≤9、悬浮物≤300mg/L、COD≤360mg/L</w:t>
            </w:r>
            <w:r>
              <w:rPr>
                <w:rFonts w:hint="eastAsia" w:cs="Times New Roman"/>
                <w:color w:val="auto"/>
                <w:sz w:val="24"/>
                <w:szCs w:val="24"/>
                <w:highlight w:val="none"/>
                <w:lang w:val="en-US" w:eastAsia="zh-CN"/>
              </w:rPr>
              <w:t>、BOD</w:t>
            </w:r>
            <w:r>
              <w:rPr>
                <w:rFonts w:hint="eastAsia"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≤150mg/L、氨氮≤35mg/L</w:t>
            </w:r>
            <w:r>
              <w:rPr>
                <w:rFonts w:hint="eastAsia" w:cs="Times New Roman"/>
                <w:color w:val="auto"/>
                <w:sz w:val="24"/>
                <w:szCs w:val="24"/>
                <w:highlight w:val="none"/>
                <w:lang w:val="en-US" w:eastAsia="zh-CN"/>
              </w:rPr>
              <w:t>、总磷</w:t>
            </w:r>
            <w:r>
              <w:rPr>
                <w:rFonts w:hint="eastAsia" w:ascii="Times New Roman" w:hAnsi="Times New Roman" w:cs="Times New Roman"/>
                <w:color w:val="auto"/>
                <w:sz w:val="24"/>
                <w:szCs w:val="24"/>
                <w:highlight w:val="none"/>
                <w:lang w:val="en-US" w:eastAsia="zh-CN"/>
              </w:rPr>
              <w:t>≤3.5mg/L</w:t>
            </w:r>
            <w:r>
              <w:rPr>
                <w:rFonts w:hint="eastAsia" w:ascii="Times New Roman" w:hAnsi="Times New Roman" w:eastAsia="宋体" w:cs="Times New Roman"/>
                <w:color w:val="auto"/>
                <w:sz w:val="24"/>
                <w:szCs w:val="24"/>
                <w:highlight w:val="none"/>
                <w:lang w:val="en-US" w:eastAsia="zh-CN"/>
              </w:rPr>
              <w:t>）。</w:t>
            </w:r>
          </w:p>
          <w:p>
            <w:pPr>
              <w:pStyle w:val="9"/>
              <w:bidi w:val="0"/>
              <w:rPr>
                <w:rFonts w:hint="eastAsia"/>
                <w:color w:val="auto"/>
                <w:lang w:val="en-US" w:eastAsia="zh-CN"/>
              </w:rPr>
            </w:pPr>
            <w:r>
              <w:rPr>
                <w:rFonts w:hint="default"/>
                <w:color w:val="auto"/>
                <w:lang w:val="en-US" w:eastAsia="zh-CN"/>
              </w:rPr>
              <w:t>表7.2-</w:t>
            </w:r>
            <w:r>
              <w:rPr>
                <w:rFonts w:hint="eastAsia"/>
                <w:color w:val="auto"/>
                <w:lang w:val="en-US" w:eastAsia="zh-CN"/>
              </w:rPr>
              <w:t xml:space="preserve">3  </w:t>
            </w:r>
            <w:r>
              <w:rPr>
                <w:rFonts w:hint="default"/>
                <w:color w:val="auto"/>
                <w:lang w:val="en-US" w:eastAsia="zh-CN"/>
              </w:rPr>
              <w:t>废水监测结果</w:t>
            </w:r>
            <w:r>
              <w:rPr>
                <w:rFonts w:hint="eastAsia"/>
                <w:color w:val="auto"/>
                <w:lang w:val="en-US" w:eastAsia="zh-CN"/>
              </w:rPr>
              <w:t>一览表</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99"/>
              <w:gridCol w:w="803"/>
              <w:gridCol w:w="1010"/>
              <w:gridCol w:w="723"/>
              <w:gridCol w:w="696"/>
              <w:gridCol w:w="709"/>
              <w:gridCol w:w="696"/>
              <w:gridCol w:w="1746"/>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restar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采</w:t>
                  </w:r>
                  <w:r>
                    <w:rPr>
                      <w:rFonts w:hint="default" w:ascii="Times New Roman" w:hAnsi="Times New Roman" w:eastAsia="宋体" w:cs="Times New Roman"/>
                      <w:b w:val="0"/>
                      <w:bCs w:val="0"/>
                      <w:color w:val="auto"/>
                      <w:kern w:val="2"/>
                      <w:sz w:val="21"/>
                      <w:szCs w:val="21"/>
                      <w:lang w:val="en-US" w:eastAsia="zh-CN" w:bidi="ar-SA"/>
                    </w:rPr>
                    <w:t>样日期</w:t>
                  </w:r>
                </w:p>
              </w:tc>
              <w:tc>
                <w:tcPr>
                  <w:tcW w:w="551" w:type="pct"/>
                  <w:vMerge w:val="restart"/>
                  <w:noWrap w:val="0"/>
                  <w:vAlign w:val="center"/>
                </w:tcPr>
                <w:p>
                  <w:pPr>
                    <w:widowControl/>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检测点位</w:t>
                  </w:r>
                </w:p>
              </w:tc>
              <w:tc>
                <w:tcPr>
                  <w:tcW w:w="443" w:type="pct"/>
                  <w:vMerge w:val="restart"/>
                  <w:noWrap w:val="0"/>
                  <w:vAlign w:val="center"/>
                </w:tcPr>
                <w:p>
                  <w:pPr>
                    <w:widowControl/>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检测项目</w:t>
                  </w:r>
                </w:p>
              </w:tc>
              <w:tc>
                <w:tcPr>
                  <w:tcW w:w="557" w:type="pct"/>
                  <w:vMerge w:val="restart"/>
                  <w:noWrap w:val="0"/>
                  <w:vAlign w:val="center"/>
                </w:tcPr>
                <w:p>
                  <w:pPr>
                    <w:widowControl/>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单位</w:t>
                  </w:r>
                </w:p>
              </w:tc>
              <w:tc>
                <w:tcPr>
                  <w:tcW w:w="1558" w:type="pct"/>
                  <w:gridSpan w:val="4"/>
                  <w:noWrap w:val="0"/>
                  <w:vAlign w:val="center"/>
                </w:tcPr>
                <w:p>
                  <w:pPr>
                    <w:widowControl/>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检测结果</w:t>
                  </w:r>
                </w:p>
              </w:tc>
              <w:tc>
                <w:tcPr>
                  <w:tcW w:w="963" w:type="pct"/>
                  <w:vMerge w:val="restart"/>
                  <w:noWrap w:val="0"/>
                  <w:vAlign w:val="center"/>
                </w:tcPr>
                <w:p>
                  <w:pPr>
                    <w:pageBreakBefore w:val="0"/>
                    <w:widowControl w:val="0"/>
                    <w:kinsoku/>
                    <w:overflowPunct/>
                    <w:autoSpaceDE w:val="0"/>
                    <w:autoSpaceDN w:val="0"/>
                    <w:bidi w:val="0"/>
                    <w:adjustRightInd w:val="0"/>
                    <w:snapToGrid/>
                    <w:spacing w:line="260" w:lineRule="exact"/>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highlight w:val="none"/>
                    </w:rPr>
                    <w:t>GB8978-1996表4三级排放标准</w:t>
                  </w:r>
                  <w:r>
                    <w:rPr>
                      <w:rFonts w:hint="eastAsia" w:ascii="Times New Roman" w:hAnsi="Times New Roman" w:cs="Times New Roman"/>
                      <w:color w:val="auto"/>
                      <w:sz w:val="21"/>
                      <w:szCs w:val="21"/>
                      <w:highlight w:val="none"/>
                      <w:lang w:val="en-US" w:eastAsia="zh-CN"/>
                    </w:rPr>
                    <w:t>、GB/T31962-2015中B级标准</w:t>
                  </w:r>
                </w:p>
              </w:tc>
              <w:tc>
                <w:tcPr>
                  <w:tcW w:w="533" w:type="pct"/>
                  <w:vMerge w:val="restart"/>
                  <w:noWrap w:val="0"/>
                  <w:vAlign w:val="center"/>
                </w:tcPr>
                <w:p>
                  <w:pPr>
                    <w:pageBreakBefore w:val="0"/>
                    <w:widowControl w:val="0"/>
                    <w:kinsoku/>
                    <w:overflowPunct/>
                    <w:autoSpaceDE w:val="0"/>
                    <w:autoSpaceDN w:val="0"/>
                    <w:bidi w:val="0"/>
                    <w:adjustRightInd w:val="0"/>
                    <w:snapToGrid/>
                    <w:spacing w:line="2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highlight w:val="none"/>
                    </w:rPr>
                    <w:t>排水协议规定的浓度限值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jc w:val="center"/>
                    <w:rPr>
                      <w:rFonts w:hint="eastAsia"/>
                      <w:bCs/>
                      <w:color w:val="auto"/>
                      <w:szCs w:val="21"/>
                      <w:lang w:val="en-US" w:eastAsia="zh-CN"/>
                    </w:rPr>
                  </w:pPr>
                </w:p>
              </w:tc>
              <w:tc>
                <w:tcPr>
                  <w:tcW w:w="551" w:type="pct"/>
                  <w:vMerge w:val="continue"/>
                  <w:noWrap w:val="0"/>
                  <w:vAlign w:val="center"/>
                </w:tcPr>
                <w:p>
                  <w:pPr>
                    <w:widowControl/>
                    <w:jc w:val="center"/>
                    <w:rPr>
                      <w:rFonts w:hint="eastAsia"/>
                      <w:color w:val="auto"/>
                      <w:lang w:eastAsia="zh-CN"/>
                    </w:rPr>
                  </w:pPr>
                </w:p>
              </w:tc>
              <w:tc>
                <w:tcPr>
                  <w:tcW w:w="443" w:type="pct"/>
                  <w:vMerge w:val="continue"/>
                  <w:noWrap w:val="0"/>
                  <w:vAlign w:val="center"/>
                </w:tcPr>
                <w:p>
                  <w:pPr>
                    <w:widowControl/>
                    <w:jc w:val="center"/>
                    <w:rPr>
                      <w:bCs/>
                      <w:color w:val="auto"/>
                      <w:szCs w:val="21"/>
                    </w:rPr>
                  </w:pPr>
                </w:p>
              </w:tc>
              <w:tc>
                <w:tcPr>
                  <w:tcW w:w="557" w:type="pct"/>
                  <w:vMerge w:val="continue"/>
                  <w:noWrap w:val="0"/>
                  <w:vAlign w:val="center"/>
                </w:tcPr>
                <w:p>
                  <w:pPr>
                    <w:widowControl/>
                    <w:jc w:val="center"/>
                    <w:rPr>
                      <w:bCs/>
                      <w:color w:val="auto"/>
                      <w:szCs w:val="21"/>
                    </w:rPr>
                  </w:pPr>
                </w:p>
              </w:tc>
              <w:tc>
                <w:tcPr>
                  <w:tcW w:w="399" w:type="pct"/>
                  <w:noWrap w:val="0"/>
                  <w:vAlign w:val="center"/>
                </w:tcPr>
                <w:p>
                  <w:pPr>
                    <w:widowControl/>
                    <w:jc w:val="center"/>
                    <w:rPr>
                      <w:rFonts w:hint="eastAsia" w:eastAsia="宋体"/>
                      <w:bCs/>
                      <w:color w:val="auto"/>
                      <w:spacing w:val="-20"/>
                      <w:szCs w:val="21"/>
                      <w:lang w:val="en-US" w:eastAsia="zh-CN"/>
                    </w:rPr>
                  </w:pPr>
                  <w:r>
                    <w:rPr>
                      <w:rFonts w:hint="eastAsia"/>
                      <w:bCs/>
                      <w:color w:val="auto"/>
                      <w:spacing w:val="-20"/>
                      <w:szCs w:val="21"/>
                      <w:lang w:eastAsia="zh-CN"/>
                    </w:rPr>
                    <w:t>第</w:t>
                  </w:r>
                  <w:r>
                    <w:rPr>
                      <w:rFonts w:hint="eastAsia"/>
                      <w:bCs/>
                      <w:color w:val="auto"/>
                      <w:spacing w:val="-20"/>
                      <w:szCs w:val="21"/>
                      <w:lang w:val="en-US" w:eastAsia="zh-CN"/>
                    </w:rPr>
                    <w:t>1次</w:t>
                  </w:r>
                </w:p>
              </w:tc>
              <w:tc>
                <w:tcPr>
                  <w:tcW w:w="384" w:type="pct"/>
                  <w:noWrap w:val="0"/>
                  <w:vAlign w:val="center"/>
                </w:tcPr>
                <w:p>
                  <w:pPr>
                    <w:widowControl/>
                    <w:jc w:val="center"/>
                    <w:rPr>
                      <w:bCs/>
                      <w:color w:val="auto"/>
                      <w:spacing w:val="-20"/>
                      <w:szCs w:val="21"/>
                    </w:rPr>
                  </w:pPr>
                  <w:r>
                    <w:rPr>
                      <w:rFonts w:hint="eastAsia"/>
                      <w:bCs/>
                      <w:color w:val="auto"/>
                      <w:spacing w:val="-20"/>
                      <w:szCs w:val="21"/>
                      <w:lang w:eastAsia="zh-CN"/>
                    </w:rPr>
                    <w:t>第</w:t>
                  </w:r>
                  <w:r>
                    <w:rPr>
                      <w:rFonts w:hint="eastAsia"/>
                      <w:bCs/>
                      <w:color w:val="auto"/>
                      <w:spacing w:val="-20"/>
                      <w:szCs w:val="21"/>
                      <w:lang w:val="en-US" w:eastAsia="zh-CN"/>
                    </w:rPr>
                    <w:t>2次</w:t>
                  </w:r>
                </w:p>
              </w:tc>
              <w:tc>
                <w:tcPr>
                  <w:tcW w:w="391" w:type="pct"/>
                  <w:noWrap w:val="0"/>
                  <w:vAlign w:val="center"/>
                </w:tcPr>
                <w:p>
                  <w:pPr>
                    <w:widowControl/>
                    <w:jc w:val="center"/>
                    <w:rPr>
                      <w:bCs/>
                      <w:color w:val="auto"/>
                      <w:spacing w:val="-20"/>
                      <w:szCs w:val="21"/>
                    </w:rPr>
                  </w:pPr>
                  <w:r>
                    <w:rPr>
                      <w:rFonts w:hint="eastAsia"/>
                      <w:bCs/>
                      <w:color w:val="auto"/>
                      <w:spacing w:val="-20"/>
                      <w:szCs w:val="21"/>
                      <w:lang w:eastAsia="zh-CN"/>
                    </w:rPr>
                    <w:t>第</w:t>
                  </w:r>
                  <w:r>
                    <w:rPr>
                      <w:rFonts w:hint="eastAsia"/>
                      <w:bCs/>
                      <w:color w:val="auto"/>
                      <w:spacing w:val="-20"/>
                      <w:szCs w:val="21"/>
                      <w:lang w:val="en-US" w:eastAsia="zh-CN"/>
                    </w:rPr>
                    <w:t>3次</w:t>
                  </w:r>
                </w:p>
              </w:tc>
              <w:tc>
                <w:tcPr>
                  <w:tcW w:w="383" w:type="pct"/>
                  <w:noWrap w:val="0"/>
                  <w:vAlign w:val="center"/>
                </w:tcPr>
                <w:p>
                  <w:pPr>
                    <w:widowControl/>
                    <w:jc w:val="center"/>
                    <w:rPr>
                      <w:rFonts w:hint="eastAsia"/>
                      <w:bCs/>
                      <w:color w:val="auto"/>
                      <w:spacing w:val="-20"/>
                      <w:szCs w:val="21"/>
                      <w:lang w:eastAsia="zh-CN"/>
                    </w:rPr>
                  </w:pPr>
                  <w:r>
                    <w:rPr>
                      <w:rFonts w:hint="eastAsia"/>
                      <w:bCs/>
                      <w:color w:val="auto"/>
                      <w:spacing w:val="-20"/>
                      <w:szCs w:val="21"/>
                      <w:lang w:eastAsia="zh-CN"/>
                    </w:rPr>
                    <w:t>第</w:t>
                  </w:r>
                  <w:r>
                    <w:rPr>
                      <w:rFonts w:hint="eastAsia"/>
                      <w:bCs/>
                      <w:color w:val="auto"/>
                      <w:spacing w:val="-20"/>
                      <w:szCs w:val="21"/>
                      <w:lang w:val="en-US" w:eastAsia="zh-CN"/>
                    </w:rPr>
                    <w:t>4次</w:t>
                  </w:r>
                </w:p>
              </w:tc>
              <w:tc>
                <w:tcPr>
                  <w:tcW w:w="963" w:type="pct"/>
                  <w:vMerge w:val="continue"/>
                  <w:noWrap w:val="0"/>
                  <w:vAlign w:val="center"/>
                </w:tcPr>
                <w:p>
                  <w:pPr>
                    <w:widowControl/>
                    <w:jc w:val="center"/>
                    <w:rPr>
                      <w:rFonts w:hint="eastAsia"/>
                      <w:bCs/>
                      <w:color w:val="auto"/>
                      <w:spacing w:val="-20"/>
                      <w:szCs w:val="21"/>
                      <w:lang w:eastAsia="zh-CN"/>
                    </w:rPr>
                  </w:pPr>
                </w:p>
              </w:tc>
              <w:tc>
                <w:tcPr>
                  <w:tcW w:w="533" w:type="pct"/>
                  <w:vMerge w:val="continue"/>
                  <w:noWrap w:val="0"/>
                  <w:vAlign w:val="center"/>
                </w:tcPr>
                <w:p>
                  <w:pPr>
                    <w:widowControl/>
                    <w:jc w:val="center"/>
                    <w:rPr>
                      <w:rFonts w:hint="eastAsia"/>
                      <w:bCs/>
                      <w:color w:val="auto"/>
                      <w:spacing w:val="-2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restart"/>
                  <w:noWrap w:val="0"/>
                  <w:vAlign w:val="center"/>
                </w:tcPr>
                <w:p>
                  <w:pPr>
                    <w:ind w:right="-78" w:rightChars="-37"/>
                    <w:jc w:val="center"/>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202</w:t>
                  </w:r>
                  <w:r>
                    <w:rPr>
                      <w:rFonts w:hint="eastAsia" w:ascii="Times New Roman" w:hAnsi="Times New Roman" w:eastAsia="宋体" w:cs="Times New Roman"/>
                      <w:color w:val="auto"/>
                      <w:spacing w:val="0"/>
                      <w:sz w:val="21"/>
                      <w:szCs w:val="21"/>
                      <w:lang w:val="en-US" w:eastAsia="zh-CN"/>
                    </w:rPr>
                    <w:t>5</w:t>
                  </w:r>
                  <w:r>
                    <w:rPr>
                      <w:rFonts w:hint="default" w:ascii="Times New Roman" w:hAnsi="Times New Roman" w:eastAsia="宋体" w:cs="Times New Roman"/>
                      <w:color w:val="auto"/>
                      <w:spacing w:val="0"/>
                      <w:sz w:val="21"/>
                      <w:szCs w:val="21"/>
                      <w:lang w:eastAsia="zh-CN"/>
                    </w:rPr>
                    <w:t>年</w:t>
                  </w:r>
                </w:p>
                <w:p>
                  <w:pPr>
                    <w:widowControl/>
                    <w:jc w:val="center"/>
                    <w:rPr>
                      <w:rFonts w:hint="eastAsia"/>
                      <w:lang w:val="en-US" w:eastAsia="zh-CN"/>
                    </w:rPr>
                  </w:pPr>
                  <w:r>
                    <w:rPr>
                      <w:rFonts w:hint="eastAsia" w:ascii="Times New Roman" w:hAnsi="Times New Roman" w:eastAsia="宋体" w:cs="Times New Roman"/>
                      <w:color w:val="auto"/>
                      <w:spacing w:val="0"/>
                      <w:sz w:val="21"/>
                      <w:szCs w:val="21"/>
                      <w:lang w:val="en-US" w:eastAsia="zh-CN"/>
                    </w:rPr>
                    <w:t>10</w:t>
                  </w:r>
                  <w:r>
                    <w:rPr>
                      <w:rFonts w:hint="default" w:ascii="Times New Roman" w:hAnsi="Times New Roman" w:eastAsia="宋体" w:cs="Times New Roman"/>
                      <w:color w:val="auto"/>
                      <w:spacing w:val="0"/>
                      <w:sz w:val="21"/>
                      <w:szCs w:val="21"/>
                      <w:lang w:val="en-US" w:eastAsia="zh-CN"/>
                    </w:rPr>
                    <w:t>月</w:t>
                  </w:r>
                  <w:r>
                    <w:rPr>
                      <w:rFonts w:hint="eastAsia" w:ascii="Times New Roman" w:hAnsi="Times New Roman" w:eastAsia="宋体" w:cs="Times New Roman"/>
                      <w:color w:val="auto"/>
                      <w:spacing w:val="0"/>
                      <w:sz w:val="21"/>
                      <w:szCs w:val="21"/>
                      <w:lang w:val="en-US" w:eastAsia="zh-CN"/>
                    </w:rPr>
                    <w:t>16</w:t>
                  </w:r>
                  <w:r>
                    <w:rPr>
                      <w:rFonts w:hint="default" w:ascii="Times New Roman" w:hAnsi="Times New Roman" w:eastAsia="宋体" w:cs="Times New Roman"/>
                      <w:color w:val="auto"/>
                      <w:spacing w:val="0"/>
                      <w:sz w:val="21"/>
                      <w:szCs w:val="21"/>
                      <w:lang w:val="en-US" w:eastAsia="zh-CN"/>
                    </w:rPr>
                    <w:t>日</w:t>
                  </w:r>
                </w:p>
              </w:tc>
              <w:tc>
                <w:tcPr>
                  <w:tcW w:w="551" w:type="pct"/>
                  <w:vMerge w:val="restart"/>
                  <w:noWrap w:val="0"/>
                  <w:vAlign w:val="center"/>
                </w:tcPr>
                <w:p>
                  <w:pPr>
                    <w:bidi w:val="0"/>
                    <w:jc w:val="center"/>
                    <w:rPr>
                      <w:rFonts w:hint="eastAsia"/>
                      <w:spacing w:val="-17"/>
                      <w:lang w:eastAsia="zh-CN"/>
                    </w:rPr>
                  </w:pPr>
                  <w:r>
                    <w:rPr>
                      <w:rFonts w:hint="eastAsia" w:ascii="Times New Roman" w:hAnsi="Times New Roman" w:cs="Times New Roman"/>
                      <w:sz w:val="21"/>
                      <w:szCs w:val="21"/>
                      <w:lang w:val="en-US" w:eastAsia="zh-CN"/>
                    </w:rPr>
                    <w:t>厂区废水排放口DW001</w:t>
                  </w: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pH</w:t>
                  </w:r>
                </w:p>
              </w:tc>
              <w:tc>
                <w:tcPr>
                  <w:tcW w:w="557"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无量纲</w:t>
                  </w:r>
                </w:p>
              </w:tc>
              <w:tc>
                <w:tcPr>
                  <w:tcW w:w="39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38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39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3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96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rPr>
                    <w:t>6～9</w:t>
                  </w:r>
                </w:p>
              </w:tc>
              <w:tc>
                <w:tcPr>
                  <w:tcW w:w="53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SS</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96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kern w:val="2"/>
                      <w:sz w:val="21"/>
                      <w:szCs w:val="21"/>
                      <w:highlight w:val="none"/>
                      <w:lang w:val="en-US" w:eastAsia="zh-CN"/>
                    </w:rPr>
                    <w:t>400</w:t>
                  </w:r>
                </w:p>
              </w:tc>
              <w:tc>
                <w:tcPr>
                  <w:tcW w:w="53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氨氮</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96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kern w:val="2"/>
                      <w:sz w:val="21"/>
                      <w:szCs w:val="21"/>
                      <w:highlight w:val="none"/>
                      <w:lang w:val="en-US" w:eastAsia="zh-CN"/>
                    </w:rPr>
                    <w:t>45</w:t>
                  </w:r>
                </w:p>
              </w:tc>
              <w:tc>
                <w:tcPr>
                  <w:tcW w:w="53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总磷</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96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8</w:t>
                  </w:r>
                </w:p>
              </w:tc>
              <w:tc>
                <w:tcPr>
                  <w:tcW w:w="53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COD</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96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kern w:val="2"/>
                      <w:sz w:val="21"/>
                      <w:szCs w:val="21"/>
                      <w:highlight w:val="none"/>
                      <w:lang w:val="en-US" w:eastAsia="zh-CN"/>
                    </w:rPr>
                    <w:t>500</w:t>
                  </w:r>
                </w:p>
              </w:tc>
              <w:tc>
                <w:tcPr>
                  <w:tcW w:w="53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spacing w:val="-17"/>
                      <w:kern w:val="2"/>
                      <w:sz w:val="21"/>
                      <w:szCs w:val="21"/>
                      <w:lang w:val="en-US" w:eastAsia="zh-CN" w:bidi="ar-SA"/>
                    </w:rPr>
                  </w:pPr>
                  <w:r>
                    <w:rPr>
                      <w:rFonts w:hint="eastAsia" w:ascii="Times New Roman" w:hAnsi="Times New Roman" w:cs="Times New Roman"/>
                      <w:spacing w:val="-17"/>
                      <w:sz w:val="21"/>
                      <w:szCs w:val="21"/>
                      <w:lang w:val="en-US" w:eastAsia="zh-CN"/>
                    </w:rPr>
                    <w:t>BOD</w:t>
                  </w:r>
                  <w:r>
                    <w:rPr>
                      <w:rFonts w:hint="eastAsia" w:ascii="Times New Roman" w:hAnsi="Times New Roman" w:cs="Times New Roman"/>
                      <w:spacing w:val="-17"/>
                      <w:sz w:val="21"/>
                      <w:szCs w:val="21"/>
                      <w:vertAlign w:val="subscript"/>
                      <w:lang w:val="en-US" w:eastAsia="zh-CN"/>
                    </w:rPr>
                    <w:t>5</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96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300</w:t>
                  </w:r>
                </w:p>
              </w:tc>
              <w:tc>
                <w:tcPr>
                  <w:tcW w:w="53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restart"/>
                  <w:noWrap w:val="0"/>
                  <w:vAlign w:val="center"/>
                </w:tcPr>
                <w:p>
                  <w:pPr>
                    <w:ind w:right="-78" w:rightChars="-37"/>
                    <w:jc w:val="center"/>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202</w:t>
                  </w:r>
                  <w:r>
                    <w:rPr>
                      <w:rFonts w:hint="eastAsia" w:ascii="Times New Roman" w:hAnsi="Times New Roman" w:eastAsia="宋体" w:cs="Times New Roman"/>
                      <w:color w:val="auto"/>
                      <w:spacing w:val="0"/>
                      <w:sz w:val="21"/>
                      <w:szCs w:val="21"/>
                      <w:lang w:val="en-US" w:eastAsia="zh-CN"/>
                    </w:rPr>
                    <w:t>5</w:t>
                  </w:r>
                  <w:r>
                    <w:rPr>
                      <w:rFonts w:hint="default" w:ascii="Times New Roman" w:hAnsi="Times New Roman" w:eastAsia="宋体" w:cs="Times New Roman"/>
                      <w:color w:val="auto"/>
                      <w:spacing w:val="0"/>
                      <w:sz w:val="21"/>
                      <w:szCs w:val="21"/>
                      <w:lang w:eastAsia="zh-CN"/>
                    </w:rPr>
                    <w:t>年</w:t>
                  </w:r>
                </w:p>
                <w:p>
                  <w:pPr>
                    <w:widowControl/>
                    <w:jc w:val="center"/>
                    <w:rPr>
                      <w:rFonts w:hint="eastAsia"/>
                      <w:lang w:val="en-US" w:eastAsia="zh-CN"/>
                    </w:rPr>
                  </w:pPr>
                  <w:r>
                    <w:rPr>
                      <w:rFonts w:hint="eastAsia" w:ascii="Times New Roman" w:hAnsi="Times New Roman" w:eastAsia="宋体" w:cs="Times New Roman"/>
                      <w:color w:val="auto"/>
                      <w:spacing w:val="0"/>
                      <w:sz w:val="21"/>
                      <w:szCs w:val="21"/>
                      <w:lang w:val="en-US" w:eastAsia="zh-CN"/>
                    </w:rPr>
                    <w:t>10</w:t>
                  </w:r>
                  <w:r>
                    <w:rPr>
                      <w:rFonts w:hint="default" w:ascii="Times New Roman" w:hAnsi="Times New Roman" w:eastAsia="宋体" w:cs="Times New Roman"/>
                      <w:color w:val="auto"/>
                      <w:spacing w:val="0"/>
                      <w:sz w:val="21"/>
                      <w:szCs w:val="21"/>
                      <w:lang w:val="en-US" w:eastAsia="zh-CN"/>
                    </w:rPr>
                    <w:t>月</w:t>
                  </w:r>
                  <w:r>
                    <w:rPr>
                      <w:rFonts w:hint="eastAsia" w:ascii="Times New Roman" w:hAnsi="Times New Roman" w:eastAsia="宋体" w:cs="Times New Roman"/>
                      <w:color w:val="auto"/>
                      <w:spacing w:val="0"/>
                      <w:sz w:val="21"/>
                      <w:szCs w:val="21"/>
                      <w:lang w:val="en-US" w:eastAsia="zh-CN"/>
                    </w:rPr>
                    <w:t>17</w:t>
                  </w:r>
                  <w:r>
                    <w:rPr>
                      <w:rFonts w:hint="default" w:ascii="Times New Roman" w:hAnsi="Times New Roman" w:eastAsia="宋体" w:cs="Times New Roman"/>
                      <w:color w:val="auto"/>
                      <w:spacing w:val="0"/>
                      <w:sz w:val="21"/>
                      <w:szCs w:val="21"/>
                      <w:lang w:val="en-US" w:eastAsia="zh-CN"/>
                    </w:rPr>
                    <w:t>日</w:t>
                  </w:r>
                </w:p>
              </w:tc>
              <w:tc>
                <w:tcPr>
                  <w:tcW w:w="551" w:type="pct"/>
                  <w:vMerge w:val="restart"/>
                  <w:noWrap w:val="0"/>
                  <w:vAlign w:val="center"/>
                </w:tcPr>
                <w:p>
                  <w:pPr>
                    <w:bidi w:val="0"/>
                    <w:jc w:val="center"/>
                    <w:rPr>
                      <w:rFonts w:hint="eastAsia"/>
                      <w:spacing w:val="-17"/>
                      <w:lang w:eastAsia="zh-CN"/>
                    </w:rPr>
                  </w:pPr>
                  <w:r>
                    <w:rPr>
                      <w:rFonts w:hint="eastAsia" w:ascii="Times New Roman" w:hAnsi="Times New Roman" w:cs="Times New Roman"/>
                      <w:sz w:val="21"/>
                      <w:szCs w:val="21"/>
                      <w:lang w:val="en-US" w:eastAsia="zh-CN"/>
                    </w:rPr>
                    <w:t>厂区废水排放口DW001</w:t>
                  </w: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pH</w:t>
                  </w:r>
                </w:p>
              </w:tc>
              <w:tc>
                <w:tcPr>
                  <w:tcW w:w="557"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无量纲</w:t>
                  </w:r>
                </w:p>
              </w:tc>
              <w:tc>
                <w:tcPr>
                  <w:tcW w:w="39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38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39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3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17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rPr>
                    <w:t>6～9</w:t>
                  </w:r>
                </w:p>
              </w:tc>
              <w:tc>
                <w:tcPr>
                  <w:tcW w:w="9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SS</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17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kern w:val="2"/>
                      <w:sz w:val="21"/>
                      <w:szCs w:val="21"/>
                      <w:highlight w:val="none"/>
                      <w:lang w:val="en-US" w:eastAsia="zh-CN"/>
                    </w:rPr>
                    <w:t>400</w:t>
                  </w:r>
                </w:p>
              </w:tc>
              <w:tc>
                <w:tcPr>
                  <w:tcW w:w="9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氨氮</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17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kern w:val="2"/>
                      <w:sz w:val="21"/>
                      <w:szCs w:val="21"/>
                      <w:highlight w:val="none"/>
                      <w:lang w:val="en-US" w:eastAsia="zh-CN"/>
                    </w:rPr>
                    <w:t>45</w:t>
                  </w:r>
                </w:p>
              </w:tc>
              <w:tc>
                <w:tcPr>
                  <w:tcW w:w="9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总磷</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17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8</w:t>
                  </w:r>
                </w:p>
              </w:tc>
              <w:tc>
                <w:tcPr>
                  <w:tcW w:w="9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COD</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17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kern w:val="2"/>
                      <w:sz w:val="21"/>
                      <w:szCs w:val="21"/>
                      <w:highlight w:val="none"/>
                      <w:lang w:val="en-US" w:eastAsia="zh-CN"/>
                    </w:rPr>
                    <w:t>500</w:t>
                  </w:r>
                </w:p>
              </w:tc>
              <w:tc>
                <w:tcPr>
                  <w:tcW w:w="9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1" w:type="pct"/>
                  <w:vMerge w:val="continue"/>
                  <w:noWrap w:val="0"/>
                  <w:vAlign w:val="center"/>
                </w:tcPr>
                <w:p>
                  <w:pPr>
                    <w:bidi w:val="0"/>
                    <w:jc w:val="center"/>
                    <w:rPr>
                      <w:rFonts w:hint="eastAsia"/>
                      <w:lang w:val="en-US" w:eastAsia="zh-CN"/>
                    </w:rPr>
                  </w:pPr>
                </w:p>
              </w:tc>
              <w:tc>
                <w:tcPr>
                  <w:tcW w:w="551" w:type="pct"/>
                  <w:vMerge w:val="continue"/>
                  <w:noWrap w:val="0"/>
                  <w:vAlign w:val="center"/>
                </w:tcPr>
                <w:p>
                  <w:pPr>
                    <w:bidi w:val="0"/>
                    <w:jc w:val="center"/>
                    <w:rPr>
                      <w:rFonts w:hint="eastAsia"/>
                      <w:spacing w:val="-17"/>
                      <w:sz w:val="21"/>
                      <w:lang w:eastAsia="zh-CN"/>
                    </w:rPr>
                  </w:pPr>
                </w:p>
              </w:tc>
              <w:tc>
                <w:tcPr>
                  <w:tcW w:w="443" w:type="pct"/>
                  <w:noWrap w:val="0"/>
                  <w:vAlign w:val="center"/>
                </w:tcPr>
                <w:p>
                  <w:pPr>
                    <w:spacing w:line="240" w:lineRule="auto"/>
                    <w:jc w:val="center"/>
                    <w:rPr>
                      <w:rFonts w:hint="default" w:ascii="Times New Roman" w:hAnsi="Times New Roman" w:eastAsia="宋体" w:cs="Times New Roman"/>
                      <w:spacing w:val="-17"/>
                      <w:kern w:val="2"/>
                      <w:sz w:val="21"/>
                      <w:szCs w:val="21"/>
                      <w:lang w:val="en-US" w:eastAsia="zh-CN" w:bidi="ar-SA"/>
                    </w:rPr>
                  </w:pPr>
                  <w:r>
                    <w:rPr>
                      <w:rFonts w:hint="eastAsia" w:ascii="Times New Roman" w:hAnsi="Times New Roman" w:cs="Times New Roman"/>
                      <w:spacing w:val="-17"/>
                      <w:sz w:val="21"/>
                      <w:szCs w:val="21"/>
                      <w:lang w:val="en-US" w:eastAsia="zh-CN"/>
                    </w:rPr>
                    <w:t>BOD</w:t>
                  </w:r>
                  <w:r>
                    <w:rPr>
                      <w:rFonts w:hint="eastAsia" w:ascii="Times New Roman" w:hAnsi="Times New Roman" w:cs="Times New Roman"/>
                      <w:spacing w:val="-17"/>
                      <w:sz w:val="21"/>
                      <w:szCs w:val="21"/>
                      <w:vertAlign w:val="subscript"/>
                      <w:lang w:val="en-US" w:eastAsia="zh-CN"/>
                    </w:rPr>
                    <w:t>5</w:t>
                  </w:r>
                </w:p>
              </w:tc>
              <w:tc>
                <w:tcPr>
                  <w:tcW w:w="557" w:type="pct"/>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mg/L</w:t>
                  </w:r>
                </w:p>
              </w:tc>
              <w:tc>
                <w:tcPr>
                  <w:tcW w:w="399" w:type="pct"/>
                  <w:noWrap w:val="0"/>
                  <w:vAlign w:val="center"/>
                </w:tcPr>
                <w:p>
                  <w:pPr>
                    <w:pStyle w:val="13"/>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4"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91"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383" w:type="pct"/>
                  <w:noWrap w:val="0"/>
                  <w:vAlign w:val="center"/>
                </w:tcPr>
                <w:p>
                  <w:pPr>
                    <w:snapToGrid w:val="0"/>
                    <w:spacing w:after="0"/>
                    <w:jc w:val="center"/>
                    <w:rPr>
                      <w:rFonts w:hint="default" w:ascii="Times New Roman" w:hAnsi="Times New Roman" w:eastAsia="宋体" w:cs="Times New Roman"/>
                      <w:color w:val="auto"/>
                      <w:spacing w:val="-6"/>
                      <w:kern w:val="2"/>
                      <w:sz w:val="21"/>
                      <w:szCs w:val="21"/>
                      <w:lang w:val="en-US" w:eastAsia="zh-CN" w:bidi="ar-SA"/>
                    </w:rPr>
                  </w:pPr>
                </w:p>
              </w:tc>
              <w:tc>
                <w:tcPr>
                  <w:tcW w:w="17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300</w:t>
                  </w:r>
                </w:p>
              </w:tc>
              <w:tc>
                <w:tcPr>
                  <w:tcW w:w="9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cs="Times New Roman"/>
                      <w:color w:val="auto"/>
                      <w:kern w:val="2"/>
                      <w:sz w:val="21"/>
                      <w:szCs w:val="21"/>
                      <w:highlight w:val="none"/>
                      <w:lang w:val="en-US" w:eastAsia="zh-CN"/>
                    </w:rPr>
                    <w:t>150</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0000FF"/>
                <w:sz w:val="24"/>
                <w:szCs w:val="24"/>
                <w:highlight w:val="none"/>
                <w:lang w:val="en-US" w:eastAsia="zh-CN"/>
              </w:rPr>
            </w:pPr>
          </w:p>
          <w:p>
            <w:pPr>
              <w:pStyle w:val="7"/>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7.2.3噪声监测结果</w:t>
            </w:r>
          </w:p>
          <w:p>
            <w:pPr>
              <w:pStyle w:val="38"/>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sz w:val="24"/>
                <w:szCs w:val="24"/>
                <w:highlight w:val="none"/>
                <w:vertAlign w:val="baseline"/>
                <w:lang w:val="en-US" w:eastAsia="zh-CN"/>
              </w:rPr>
              <w:t>噪声</w:t>
            </w:r>
            <w:r>
              <w:rPr>
                <w:rFonts w:hint="default" w:ascii="Times New Roman" w:hAnsi="Times New Roman" w:cs="Times New Roman"/>
                <w:color w:val="auto"/>
                <w:sz w:val="24"/>
                <w:szCs w:val="24"/>
                <w:highlight w:val="none"/>
                <w:lang w:val="en-US" w:eastAsia="zh-CN"/>
              </w:rPr>
              <w:t>监测结果见表7.2-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监测结果</w:t>
            </w:r>
            <w:r>
              <w:rPr>
                <w:rFonts w:hint="default" w:ascii="Times New Roman" w:hAnsi="Times New Roman" w:cs="Times New Roman"/>
                <w:color w:val="auto"/>
                <w:sz w:val="24"/>
                <w:szCs w:val="24"/>
                <w:highlight w:val="none"/>
                <w:lang w:val="en-US" w:eastAsia="zh-CN"/>
              </w:rPr>
              <w:t>显示，</w:t>
            </w:r>
            <w:r>
              <w:rPr>
                <w:rFonts w:hint="eastAsia" w:ascii="Times New Roman" w:hAnsi="Times New Roman" w:eastAsia="宋体" w:cs="Times New Roman"/>
                <w:color w:val="auto"/>
                <w:sz w:val="24"/>
                <w:szCs w:val="24"/>
                <w:highlight w:val="none"/>
                <w:lang w:val="en-US" w:eastAsia="zh-CN"/>
              </w:rPr>
              <w:t>厂界噪声符合</w:t>
            </w:r>
            <w:r>
              <w:rPr>
                <w:rFonts w:hint="default" w:ascii="Times New Roman" w:hAnsi="Times New Roman" w:eastAsia="宋体" w:cs="Times New Roman"/>
                <w:color w:val="auto"/>
                <w:sz w:val="24"/>
                <w:szCs w:val="24"/>
                <w:highlight w:val="none"/>
                <w:lang w:val="en-US" w:eastAsia="zh-CN"/>
              </w:rPr>
              <w:t>《工业企业厂界环境噪声排放标准》（GB12348-2008）</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类标准</w:t>
            </w:r>
            <w:r>
              <w:rPr>
                <w:rFonts w:hint="default" w:ascii="Times New Roman" w:hAnsi="Times New Roman" w:cs="Times New Roman"/>
                <w:color w:val="auto"/>
                <w:sz w:val="24"/>
                <w:szCs w:val="24"/>
                <w:highlight w:val="none"/>
                <w:lang w:val="en-US" w:eastAsia="zh-CN"/>
              </w:rPr>
              <w:t>。</w:t>
            </w:r>
          </w:p>
          <w:p>
            <w:pPr>
              <w:pStyle w:val="9"/>
              <w:bidi w:val="0"/>
              <w:rPr>
                <w:rFonts w:hint="default"/>
                <w:lang w:val="en-US" w:eastAsia="zh-CN"/>
              </w:rPr>
            </w:pPr>
            <w:r>
              <w:rPr>
                <w:rFonts w:hint="default"/>
                <w:lang w:val="en-US" w:eastAsia="zh-CN"/>
              </w:rPr>
              <w:t>表7.2-</w:t>
            </w:r>
            <w:r>
              <w:rPr>
                <w:rFonts w:hint="eastAsia"/>
                <w:lang w:val="en-US" w:eastAsia="zh-CN"/>
              </w:rPr>
              <w:t xml:space="preserve">4  </w:t>
            </w:r>
            <w:r>
              <w:rPr>
                <w:rFonts w:hint="default"/>
                <w:lang w:val="en-US" w:eastAsia="zh-CN"/>
              </w:rPr>
              <w:t>噪声监测结果</w:t>
            </w:r>
            <w:r>
              <w:rPr>
                <w:rFonts w:hint="eastAsia"/>
                <w:lang w:val="en-US" w:eastAsia="zh-CN"/>
              </w:rPr>
              <w:t>一览表</w:t>
            </w: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2973"/>
              <w:gridCol w:w="1565"/>
              <w:gridCol w:w="156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61" w:type="pct"/>
                  <w:vMerge w:val="restart"/>
                  <w:noWrap w:val="0"/>
                  <w:vAlign w:val="center"/>
                </w:tcPr>
                <w:p>
                  <w:pPr>
                    <w:pStyle w:val="60"/>
                    <w:jc w:val="center"/>
                    <w:rPr>
                      <w:rFonts w:hint="default" w:ascii="Times New Roman" w:hAnsi="Times New Roman" w:cs="Times New Roman"/>
                      <w:color w:val="000000"/>
                      <w:szCs w:val="21"/>
                    </w:rPr>
                  </w:pPr>
                  <w:r>
                    <w:rPr>
                      <w:rFonts w:hint="default" w:ascii="Times New Roman" w:hAnsi="Times New Roman" w:cs="Times New Roman"/>
                      <w:color w:val="000000"/>
                      <w:szCs w:val="21"/>
                    </w:rPr>
                    <w:t>检测日期</w:t>
                  </w:r>
                </w:p>
              </w:tc>
              <w:tc>
                <w:tcPr>
                  <w:tcW w:w="1641" w:type="pct"/>
                  <w:vMerge w:val="restart"/>
                  <w:noWrap w:val="0"/>
                  <w:vAlign w:val="center"/>
                </w:tcPr>
                <w:p>
                  <w:pPr>
                    <w:pStyle w:val="60"/>
                    <w:jc w:val="center"/>
                    <w:rPr>
                      <w:rFonts w:hint="default" w:ascii="Times New Roman" w:hAnsi="Times New Roman" w:cs="Times New Roman"/>
                      <w:color w:val="000000"/>
                      <w:szCs w:val="21"/>
                    </w:rPr>
                  </w:pPr>
                  <w:r>
                    <w:rPr>
                      <w:rFonts w:hint="default" w:ascii="Times New Roman" w:hAnsi="Times New Roman" w:cs="Times New Roman"/>
                      <w:color w:val="000000"/>
                      <w:szCs w:val="21"/>
                    </w:rPr>
                    <w:t>检测点位编号及位置</w:t>
                  </w:r>
                </w:p>
              </w:tc>
              <w:tc>
                <w:tcPr>
                  <w:tcW w:w="2597" w:type="pct"/>
                  <w:gridSpan w:val="3"/>
                  <w:noWrap w:val="0"/>
                  <w:vAlign w:val="center"/>
                </w:tcPr>
                <w:p>
                  <w:pPr>
                    <w:pStyle w:val="60"/>
                    <w:jc w:val="center"/>
                    <w:rPr>
                      <w:rFonts w:hint="default" w:ascii="Times New Roman" w:hAnsi="Times New Roman" w:cs="Times New Roman"/>
                      <w:i w:val="0"/>
                      <w:iCs w:val="0"/>
                      <w:color w:val="000000"/>
                      <w:szCs w:val="21"/>
                    </w:rPr>
                  </w:pPr>
                  <w:r>
                    <w:rPr>
                      <w:rFonts w:hint="eastAsia" w:ascii="Times New Roman" w:hAnsi="Times New Roman" w:cs="Times New Roman"/>
                      <w:i w:val="0"/>
                      <w:iCs w:val="0"/>
                      <w:color w:val="000000"/>
                      <w:szCs w:val="21"/>
                      <w:lang w:eastAsia="zh-CN"/>
                    </w:rPr>
                    <w:t>测量值</w:t>
                  </w:r>
                  <w:r>
                    <w:rPr>
                      <w:rFonts w:hint="default" w:ascii="Times New Roman" w:hAnsi="Times New Roman" w:cs="Times New Roman"/>
                      <w:color w:val="000000"/>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61" w:type="pct"/>
                  <w:vMerge w:val="continue"/>
                  <w:noWrap w:val="0"/>
                  <w:vAlign w:val="center"/>
                </w:tcPr>
                <w:p>
                  <w:pPr>
                    <w:pStyle w:val="60"/>
                    <w:jc w:val="center"/>
                    <w:rPr>
                      <w:rFonts w:hint="default" w:ascii="Times New Roman" w:hAnsi="Times New Roman" w:cs="Times New Roman"/>
                      <w:color w:val="000000"/>
                      <w:szCs w:val="21"/>
                    </w:rPr>
                  </w:pPr>
                </w:p>
              </w:tc>
              <w:tc>
                <w:tcPr>
                  <w:tcW w:w="1641" w:type="pct"/>
                  <w:vMerge w:val="continue"/>
                  <w:noWrap w:val="0"/>
                  <w:vAlign w:val="center"/>
                </w:tcPr>
                <w:p>
                  <w:pPr>
                    <w:pStyle w:val="60"/>
                    <w:jc w:val="center"/>
                    <w:rPr>
                      <w:rFonts w:hint="default" w:ascii="Times New Roman" w:hAnsi="Times New Roman" w:cs="Times New Roman"/>
                      <w:color w:val="000000"/>
                      <w:szCs w:val="21"/>
                    </w:rPr>
                  </w:pPr>
                </w:p>
              </w:tc>
              <w:tc>
                <w:tcPr>
                  <w:tcW w:w="864" w:type="pct"/>
                  <w:noWrap w:val="0"/>
                  <w:vAlign w:val="center"/>
                </w:tcPr>
                <w:p>
                  <w:pPr>
                    <w:pStyle w:val="60"/>
                    <w:jc w:val="center"/>
                    <w:rPr>
                      <w:rFonts w:hint="eastAsia" w:cs="Times New Roman"/>
                      <w:i w:val="0"/>
                      <w:iCs w:val="0"/>
                      <w:color w:val="000000"/>
                      <w:szCs w:val="21"/>
                      <w:lang w:eastAsia="zh-CN"/>
                    </w:rPr>
                  </w:pPr>
                  <w:r>
                    <w:rPr>
                      <w:rFonts w:hint="default" w:ascii="Times New Roman" w:hAnsi="Times New Roman" w:cs="Times New Roman"/>
                      <w:color w:val="000000"/>
                      <w:lang w:val="en-US" w:eastAsia="zh-CN"/>
                    </w:rPr>
                    <w:t>昼间</w:t>
                  </w:r>
                  <w:r>
                    <w:rPr>
                      <w:rFonts w:hint="eastAsia" w:ascii="Times New Roman" w:hAnsi="Times New Roman" w:cs="Times New Roman"/>
                      <w:color w:val="000000"/>
                      <w:lang w:val="en-US" w:eastAsia="zh-CN"/>
                    </w:rPr>
                    <w:t>Leq</w:t>
                  </w:r>
                </w:p>
              </w:tc>
              <w:tc>
                <w:tcPr>
                  <w:tcW w:w="864" w:type="pct"/>
                  <w:noWrap w:val="0"/>
                  <w:vAlign w:val="center"/>
                </w:tcPr>
                <w:p>
                  <w:pPr>
                    <w:pStyle w:val="60"/>
                    <w:jc w:val="center"/>
                    <w:rPr>
                      <w:rFonts w:hint="eastAsia" w:cs="Times New Roman"/>
                      <w:i w:val="0"/>
                      <w:iCs w:val="0"/>
                      <w:color w:val="000000"/>
                      <w:szCs w:val="21"/>
                      <w:lang w:eastAsia="zh-CN"/>
                    </w:rPr>
                  </w:pPr>
                  <w:r>
                    <w:rPr>
                      <w:rFonts w:hint="default" w:ascii="Times New Roman" w:hAnsi="Times New Roman" w:cs="Times New Roman"/>
                      <w:bCs/>
                      <w:color w:val="000000"/>
                      <w:spacing w:val="0"/>
                      <w:szCs w:val="21"/>
                      <w:lang w:eastAsia="zh-CN"/>
                    </w:rPr>
                    <w:t>夜</w:t>
                  </w:r>
                  <w:r>
                    <w:rPr>
                      <w:rFonts w:hint="default" w:ascii="Times New Roman" w:hAnsi="Times New Roman" w:cs="Times New Roman"/>
                      <w:color w:val="000000"/>
                      <w:lang w:val="en-US" w:eastAsia="zh-CN"/>
                    </w:rPr>
                    <w:t>间</w:t>
                  </w:r>
                  <w:r>
                    <w:rPr>
                      <w:rFonts w:hint="eastAsia" w:ascii="Times New Roman" w:hAnsi="Times New Roman" w:cs="Times New Roman"/>
                      <w:color w:val="000000"/>
                      <w:lang w:val="en-US" w:eastAsia="zh-CN"/>
                    </w:rPr>
                    <w:t>Leq</w:t>
                  </w:r>
                </w:p>
              </w:tc>
              <w:tc>
                <w:tcPr>
                  <w:tcW w:w="867" w:type="pct"/>
                  <w:noWrap w:val="0"/>
                  <w:vAlign w:val="center"/>
                </w:tcPr>
                <w:p>
                  <w:pPr>
                    <w:pStyle w:val="60"/>
                    <w:jc w:val="center"/>
                    <w:rPr>
                      <w:rFonts w:hint="eastAsia" w:cs="Times New Roman"/>
                      <w:i w:val="0"/>
                      <w:iCs w:val="0"/>
                      <w:color w:val="000000"/>
                      <w:szCs w:val="21"/>
                      <w:lang w:eastAsia="zh-CN"/>
                    </w:rPr>
                  </w:pPr>
                  <w:r>
                    <w:rPr>
                      <w:rFonts w:hint="default" w:ascii="Times New Roman" w:hAnsi="Times New Roman" w:cs="Times New Roman"/>
                      <w:bCs/>
                      <w:color w:val="000000"/>
                      <w:spacing w:val="0"/>
                      <w:szCs w:val="21"/>
                      <w:lang w:eastAsia="zh-CN"/>
                    </w:rPr>
                    <w:t>夜</w:t>
                  </w:r>
                  <w:r>
                    <w:rPr>
                      <w:rFonts w:hint="default" w:ascii="Times New Roman" w:hAnsi="Times New Roman" w:cs="Times New Roman"/>
                      <w:color w:val="000000"/>
                      <w:lang w:val="en-US" w:eastAsia="zh-CN"/>
                    </w:rPr>
                    <w:t>间</w:t>
                  </w:r>
                  <w:r>
                    <w:rPr>
                      <w:rFonts w:hint="eastAsia" w:ascii="Times New Roman" w:hAnsi="Times New Roman" w:cs="Times New Roman"/>
                      <w:color w:val="000000"/>
                      <w:lang w:val="en-US" w:eastAsia="zh-CN"/>
                    </w:rPr>
                    <w:t>Lmax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61" w:type="pct"/>
                  <w:vMerge w:val="restart"/>
                  <w:noWrap w:val="0"/>
                  <w:vAlign w:val="center"/>
                </w:tcPr>
                <w:p>
                  <w:pPr>
                    <w:ind w:right="-78" w:rightChars="-37"/>
                    <w:jc w:val="center"/>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202</w:t>
                  </w:r>
                  <w:r>
                    <w:rPr>
                      <w:rFonts w:hint="eastAsia" w:ascii="Times New Roman" w:hAnsi="Times New Roman" w:eastAsia="宋体" w:cs="Times New Roman"/>
                      <w:color w:val="auto"/>
                      <w:spacing w:val="0"/>
                      <w:sz w:val="21"/>
                      <w:szCs w:val="21"/>
                      <w:lang w:val="en-US" w:eastAsia="zh-CN"/>
                    </w:rPr>
                    <w:t>5</w:t>
                  </w:r>
                  <w:r>
                    <w:rPr>
                      <w:rFonts w:hint="default" w:ascii="Times New Roman" w:hAnsi="Times New Roman" w:eastAsia="宋体" w:cs="Times New Roman"/>
                      <w:color w:val="auto"/>
                      <w:spacing w:val="0"/>
                      <w:sz w:val="21"/>
                      <w:szCs w:val="21"/>
                      <w:lang w:eastAsia="zh-CN"/>
                    </w:rPr>
                    <w:t>年</w:t>
                  </w:r>
                </w:p>
                <w:p>
                  <w:pPr>
                    <w:widowControl/>
                    <w:jc w:val="center"/>
                    <w:rPr>
                      <w:rFonts w:hint="default" w:ascii="Times New Roman" w:hAnsi="Times New Roman" w:eastAsia="宋体"/>
                      <w:kern w:val="2"/>
                      <w:sz w:val="21"/>
                      <w:szCs w:val="24"/>
                      <w:lang w:val="en-US" w:eastAsia="zh-CN" w:bidi="ar-SA"/>
                    </w:rPr>
                  </w:pPr>
                  <w:r>
                    <w:rPr>
                      <w:rFonts w:hint="eastAsia" w:ascii="Times New Roman" w:hAnsi="Times New Roman" w:eastAsia="宋体" w:cs="Times New Roman"/>
                      <w:color w:val="auto"/>
                      <w:spacing w:val="0"/>
                      <w:sz w:val="21"/>
                      <w:szCs w:val="21"/>
                      <w:lang w:val="en-US" w:eastAsia="zh-CN"/>
                    </w:rPr>
                    <w:t>10</w:t>
                  </w:r>
                  <w:r>
                    <w:rPr>
                      <w:rFonts w:hint="default" w:ascii="Times New Roman" w:hAnsi="Times New Roman" w:eastAsia="宋体" w:cs="Times New Roman"/>
                      <w:color w:val="auto"/>
                      <w:spacing w:val="0"/>
                      <w:sz w:val="21"/>
                      <w:szCs w:val="21"/>
                      <w:lang w:val="en-US" w:eastAsia="zh-CN"/>
                    </w:rPr>
                    <w:t>月</w:t>
                  </w:r>
                  <w:r>
                    <w:rPr>
                      <w:rFonts w:hint="eastAsia" w:ascii="Times New Roman" w:hAnsi="Times New Roman" w:eastAsia="宋体" w:cs="Times New Roman"/>
                      <w:color w:val="auto"/>
                      <w:spacing w:val="0"/>
                      <w:sz w:val="21"/>
                      <w:szCs w:val="21"/>
                      <w:lang w:val="en-US" w:eastAsia="zh-CN"/>
                    </w:rPr>
                    <w:t>16</w:t>
                  </w:r>
                  <w:r>
                    <w:rPr>
                      <w:rFonts w:hint="default" w:ascii="Times New Roman" w:hAnsi="Times New Roman" w:eastAsia="宋体" w:cs="Times New Roman"/>
                      <w:color w:val="auto"/>
                      <w:spacing w:val="0"/>
                      <w:sz w:val="21"/>
                      <w:szCs w:val="21"/>
                      <w:lang w:val="en-US" w:eastAsia="zh-CN"/>
                    </w:rPr>
                    <w:t>日</w:t>
                  </w:r>
                </w:p>
              </w:tc>
              <w:tc>
                <w:tcPr>
                  <w:tcW w:w="1641"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6"/>
                      <w:szCs w:val="21"/>
                      <w:lang w:val="en-US" w:eastAsia="zh-CN"/>
                    </w:rPr>
                  </w:pPr>
                  <w:r>
                    <w:rPr>
                      <w:rFonts w:hint="default" w:ascii="Times New Roman" w:hAnsi="Times New Roman" w:cs="Times New Roman"/>
                      <w:b w:val="0"/>
                      <w:bCs w:val="0"/>
                      <w:color w:val="auto"/>
                      <w:spacing w:val="0"/>
                      <w:w w:val="100"/>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1</w:t>
                  </w:r>
                  <w:r>
                    <w:rPr>
                      <w:rFonts w:hint="eastAsia" w:ascii="Times New Roman" w:hAnsi="Times New Roman" w:eastAsia="宋体" w:cs="Times New Roman"/>
                      <w:snapToGrid/>
                      <w:color w:val="auto"/>
                      <w:kern w:val="2"/>
                      <w:sz w:val="21"/>
                      <w:szCs w:val="21"/>
                      <w:highlight w:val="none"/>
                      <w:lang w:val="en-US" w:eastAsia="zh-CN" w:bidi="ar-SA"/>
                    </w:rPr>
                    <w:t>北厂界外</w:t>
                  </w:r>
                  <w:r>
                    <w:rPr>
                      <w:rFonts w:hint="default" w:ascii="Times New Roman" w:hAnsi="Times New Roman" w:eastAsia="宋体" w:cs="Times New Roman"/>
                      <w:snapToGrid/>
                      <w:color w:val="auto"/>
                      <w:kern w:val="2"/>
                      <w:sz w:val="21"/>
                      <w:szCs w:val="21"/>
                      <w:highlight w:val="none"/>
                      <w:lang w:val="en-US" w:eastAsia="zh-CN" w:bidi="ar-SA"/>
                    </w:rPr>
                    <w:t>1</w:t>
                  </w:r>
                  <w:r>
                    <w:rPr>
                      <w:rFonts w:hint="eastAsia" w:ascii="Times New Roman" w:hAnsi="Times New Roman" w:eastAsia="宋体" w:cs="Times New Roman"/>
                      <w:snapToGrid/>
                      <w:color w:val="auto"/>
                      <w:kern w:val="2"/>
                      <w:sz w:val="21"/>
                      <w:szCs w:val="21"/>
                      <w:highlight w:val="none"/>
                      <w:lang w:val="en-US" w:eastAsia="zh-CN" w:bidi="ar-SA"/>
                    </w:rPr>
                    <w:t>m</w:t>
                  </w: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61" w:type="pct"/>
                  <w:vMerge w:val="continue"/>
                  <w:noWrap w:val="0"/>
                  <w:vAlign w:val="center"/>
                </w:tcPr>
                <w:p>
                  <w:pPr>
                    <w:spacing w:line="240" w:lineRule="exact"/>
                    <w:jc w:val="center"/>
                    <w:rPr>
                      <w:rFonts w:hint="default" w:ascii="Times New Roman" w:hAnsi="Times New Roman" w:eastAsia="宋体" w:cs="Times New Roman"/>
                      <w:bCs/>
                      <w:color w:val="000000"/>
                      <w:sz w:val="21"/>
                      <w:szCs w:val="21"/>
                    </w:rPr>
                  </w:pPr>
                </w:p>
              </w:tc>
              <w:tc>
                <w:tcPr>
                  <w:tcW w:w="16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6"/>
                      <w:szCs w:val="21"/>
                      <w:lang w:val="en-US" w:eastAsia="zh-CN"/>
                    </w:rPr>
                  </w:pPr>
                  <w:r>
                    <w:rPr>
                      <w:rFonts w:hint="default" w:ascii="Times New Roman" w:hAnsi="Times New Roman" w:cs="Times New Roman"/>
                      <w:b w:val="0"/>
                      <w:bCs w:val="0"/>
                      <w:color w:val="auto"/>
                      <w:spacing w:val="0"/>
                      <w:w w:val="100"/>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2</w:t>
                  </w:r>
                  <w:r>
                    <w:rPr>
                      <w:rFonts w:hint="eastAsia" w:ascii="Times New Roman" w:hAnsi="Times New Roman" w:eastAsia="宋体" w:cs="Times New Roman"/>
                      <w:snapToGrid/>
                      <w:color w:val="auto"/>
                      <w:kern w:val="2"/>
                      <w:sz w:val="21"/>
                      <w:szCs w:val="21"/>
                      <w:highlight w:val="none"/>
                      <w:lang w:val="en-US" w:eastAsia="zh-CN" w:bidi="ar-SA"/>
                    </w:rPr>
                    <w:t>东厂界外</w:t>
                  </w:r>
                  <w:r>
                    <w:rPr>
                      <w:rFonts w:hint="default" w:ascii="Times New Roman" w:hAnsi="Times New Roman" w:eastAsia="宋体" w:cs="Times New Roman"/>
                      <w:snapToGrid/>
                      <w:color w:val="auto"/>
                      <w:kern w:val="2"/>
                      <w:sz w:val="21"/>
                      <w:szCs w:val="21"/>
                      <w:highlight w:val="none"/>
                      <w:lang w:val="en-US" w:eastAsia="zh-CN" w:bidi="ar-SA"/>
                    </w:rPr>
                    <w:t>1</w:t>
                  </w:r>
                  <w:r>
                    <w:rPr>
                      <w:rFonts w:hint="eastAsia" w:ascii="Times New Roman" w:hAnsi="Times New Roman" w:eastAsia="宋体" w:cs="Times New Roman"/>
                      <w:snapToGrid/>
                      <w:color w:val="auto"/>
                      <w:kern w:val="2"/>
                      <w:sz w:val="21"/>
                      <w:szCs w:val="21"/>
                      <w:highlight w:val="none"/>
                      <w:lang w:val="en-US" w:eastAsia="zh-CN" w:bidi="ar-SA"/>
                    </w:rPr>
                    <w:t>m</w:t>
                  </w: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61" w:type="pct"/>
                  <w:vMerge w:val="continue"/>
                  <w:noWrap w:val="0"/>
                  <w:vAlign w:val="center"/>
                </w:tcPr>
                <w:p>
                  <w:pPr>
                    <w:spacing w:line="240" w:lineRule="exact"/>
                    <w:jc w:val="center"/>
                    <w:rPr>
                      <w:rFonts w:hint="default" w:ascii="Times New Roman" w:hAnsi="Times New Roman" w:eastAsia="宋体" w:cs="Times New Roman"/>
                      <w:bCs/>
                      <w:color w:val="000000"/>
                      <w:sz w:val="21"/>
                      <w:szCs w:val="21"/>
                    </w:rPr>
                  </w:pPr>
                </w:p>
              </w:tc>
              <w:tc>
                <w:tcPr>
                  <w:tcW w:w="16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6"/>
                      <w:szCs w:val="21"/>
                      <w:lang w:val="en-US" w:eastAsia="zh-CN"/>
                    </w:rPr>
                  </w:pPr>
                  <w:r>
                    <w:rPr>
                      <w:rFonts w:hint="default" w:ascii="Times New Roman" w:hAnsi="Times New Roman" w:cs="Times New Roman"/>
                      <w:b w:val="0"/>
                      <w:bCs w:val="0"/>
                      <w:color w:val="auto"/>
                      <w:spacing w:val="0"/>
                      <w:w w:val="100"/>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3</w:t>
                  </w:r>
                  <w:r>
                    <w:rPr>
                      <w:rFonts w:hint="eastAsia" w:ascii="Times New Roman" w:hAnsi="Times New Roman" w:eastAsia="宋体" w:cs="Times New Roman"/>
                      <w:snapToGrid/>
                      <w:color w:val="auto"/>
                      <w:kern w:val="2"/>
                      <w:sz w:val="21"/>
                      <w:szCs w:val="21"/>
                      <w:highlight w:val="none"/>
                      <w:lang w:val="en-US" w:eastAsia="zh-CN" w:bidi="ar-SA"/>
                    </w:rPr>
                    <w:t>西厂界外</w:t>
                  </w:r>
                  <w:r>
                    <w:rPr>
                      <w:rFonts w:hint="default" w:ascii="Times New Roman" w:hAnsi="Times New Roman" w:eastAsia="宋体" w:cs="Times New Roman"/>
                      <w:snapToGrid/>
                      <w:color w:val="auto"/>
                      <w:kern w:val="2"/>
                      <w:sz w:val="21"/>
                      <w:szCs w:val="21"/>
                      <w:highlight w:val="none"/>
                      <w:lang w:val="en-US" w:eastAsia="zh-CN" w:bidi="ar-SA"/>
                    </w:rPr>
                    <w:t>1</w:t>
                  </w:r>
                  <w:r>
                    <w:rPr>
                      <w:rFonts w:hint="eastAsia" w:ascii="Times New Roman" w:hAnsi="Times New Roman" w:eastAsia="宋体" w:cs="Times New Roman"/>
                      <w:snapToGrid/>
                      <w:color w:val="auto"/>
                      <w:kern w:val="2"/>
                      <w:sz w:val="21"/>
                      <w:szCs w:val="21"/>
                      <w:highlight w:val="none"/>
                      <w:lang w:val="en-US" w:eastAsia="zh-CN" w:bidi="ar-SA"/>
                    </w:rPr>
                    <w:t>m</w:t>
                  </w: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61" w:type="pct"/>
                  <w:vMerge w:val="restart"/>
                  <w:noWrap w:val="0"/>
                  <w:vAlign w:val="center"/>
                </w:tcPr>
                <w:p>
                  <w:pPr>
                    <w:ind w:right="-78" w:rightChars="-37"/>
                    <w:jc w:val="center"/>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202</w:t>
                  </w:r>
                  <w:r>
                    <w:rPr>
                      <w:rFonts w:hint="eastAsia" w:ascii="Times New Roman" w:hAnsi="Times New Roman" w:eastAsia="宋体" w:cs="Times New Roman"/>
                      <w:color w:val="auto"/>
                      <w:spacing w:val="0"/>
                      <w:sz w:val="21"/>
                      <w:szCs w:val="21"/>
                      <w:lang w:val="en-US" w:eastAsia="zh-CN"/>
                    </w:rPr>
                    <w:t>5</w:t>
                  </w:r>
                  <w:r>
                    <w:rPr>
                      <w:rFonts w:hint="default" w:ascii="Times New Roman" w:hAnsi="Times New Roman" w:eastAsia="宋体" w:cs="Times New Roman"/>
                      <w:color w:val="auto"/>
                      <w:spacing w:val="0"/>
                      <w:sz w:val="21"/>
                      <w:szCs w:val="21"/>
                      <w:lang w:eastAsia="zh-CN"/>
                    </w:rPr>
                    <w:t>年</w:t>
                  </w:r>
                </w:p>
                <w:p>
                  <w:pPr>
                    <w:widowControl/>
                    <w:jc w:val="center"/>
                    <w:rPr>
                      <w:rFonts w:hint="default" w:ascii="Times New Roman" w:hAnsi="Times New Roman" w:eastAsia="宋体"/>
                      <w:kern w:val="2"/>
                      <w:sz w:val="21"/>
                      <w:szCs w:val="24"/>
                      <w:lang w:val="en-US" w:eastAsia="zh-CN" w:bidi="ar-SA"/>
                    </w:rPr>
                  </w:pPr>
                  <w:r>
                    <w:rPr>
                      <w:rFonts w:hint="eastAsia" w:ascii="Times New Roman" w:hAnsi="Times New Roman" w:eastAsia="宋体" w:cs="Times New Roman"/>
                      <w:color w:val="auto"/>
                      <w:spacing w:val="0"/>
                      <w:sz w:val="21"/>
                      <w:szCs w:val="21"/>
                      <w:lang w:val="en-US" w:eastAsia="zh-CN"/>
                    </w:rPr>
                    <w:t>10</w:t>
                  </w:r>
                  <w:r>
                    <w:rPr>
                      <w:rFonts w:hint="default" w:ascii="Times New Roman" w:hAnsi="Times New Roman" w:eastAsia="宋体" w:cs="Times New Roman"/>
                      <w:color w:val="auto"/>
                      <w:spacing w:val="0"/>
                      <w:sz w:val="21"/>
                      <w:szCs w:val="21"/>
                      <w:lang w:val="en-US" w:eastAsia="zh-CN"/>
                    </w:rPr>
                    <w:t>月</w:t>
                  </w:r>
                  <w:r>
                    <w:rPr>
                      <w:rFonts w:hint="eastAsia" w:ascii="Times New Roman" w:hAnsi="Times New Roman" w:eastAsia="宋体" w:cs="Times New Roman"/>
                      <w:color w:val="auto"/>
                      <w:spacing w:val="0"/>
                      <w:sz w:val="21"/>
                      <w:szCs w:val="21"/>
                      <w:lang w:val="en-US" w:eastAsia="zh-CN"/>
                    </w:rPr>
                    <w:t>17</w:t>
                  </w:r>
                  <w:r>
                    <w:rPr>
                      <w:rFonts w:hint="default" w:ascii="Times New Roman" w:hAnsi="Times New Roman" w:eastAsia="宋体" w:cs="Times New Roman"/>
                      <w:color w:val="auto"/>
                      <w:spacing w:val="0"/>
                      <w:sz w:val="21"/>
                      <w:szCs w:val="21"/>
                      <w:lang w:val="en-US" w:eastAsia="zh-CN"/>
                    </w:rPr>
                    <w:t>日</w:t>
                  </w:r>
                </w:p>
              </w:tc>
              <w:tc>
                <w:tcPr>
                  <w:tcW w:w="1641" w:type="pct"/>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b w:val="0"/>
                      <w:bCs w:val="0"/>
                      <w:color w:val="auto"/>
                      <w:spacing w:val="0"/>
                      <w:w w:val="100"/>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1</w:t>
                  </w:r>
                  <w:r>
                    <w:rPr>
                      <w:rFonts w:hint="eastAsia" w:ascii="Times New Roman" w:hAnsi="Times New Roman" w:eastAsia="宋体" w:cs="Times New Roman"/>
                      <w:snapToGrid/>
                      <w:color w:val="auto"/>
                      <w:kern w:val="2"/>
                      <w:sz w:val="21"/>
                      <w:szCs w:val="21"/>
                      <w:highlight w:val="none"/>
                      <w:lang w:val="en-US" w:eastAsia="zh-CN" w:bidi="ar-SA"/>
                    </w:rPr>
                    <w:t>北厂界外</w:t>
                  </w:r>
                  <w:r>
                    <w:rPr>
                      <w:rFonts w:hint="default" w:ascii="Times New Roman" w:hAnsi="Times New Roman" w:eastAsia="宋体" w:cs="Times New Roman"/>
                      <w:snapToGrid/>
                      <w:color w:val="auto"/>
                      <w:kern w:val="2"/>
                      <w:sz w:val="21"/>
                      <w:szCs w:val="21"/>
                      <w:highlight w:val="none"/>
                      <w:lang w:val="en-US" w:eastAsia="zh-CN" w:bidi="ar-SA"/>
                    </w:rPr>
                    <w:t>1</w:t>
                  </w:r>
                  <w:r>
                    <w:rPr>
                      <w:rFonts w:hint="eastAsia" w:ascii="Times New Roman" w:hAnsi="Times New Roman" w:eastAsia="宋体" w:cs="Times New Roman"/>
                      <w:snapToGrid/>
                      <w:color w:val="auto"/>
                      <w:kern w:val="2"/>
                      <w:sz w:val="21"/>
                      <w:szCs w:val="21"/>
                      <w:highlight w:val="none"/>
                      <w:lang w:val="en-US" w:eastAsia="zh-CN" w:bidi="ar-SA"/>
                    </w:rPr>
                    <w:t>m</w:t>
                  </w: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61" w:type="pct"/>
                  <w:vMerge w:val="continue"/>
                  <w:noWrap w:val="0"/>
                  <w:vAlign w:val="center"/>
                </w:tcPr>
                <w:p>
                  <w:pPr>
                    <w:spacing w:line="240" w:lineRule="exact"/>
                    <w:jc w:val="center"/>
                    <w:rPr>
                      <w:rFonts w:hint="default" w:ascii="Times New Roman" w:hAnsi="Times New Roman" w:eastAsia="宋体" w:cs="Times New Roman"/>
                      <w:bCs/>
                      <w:color w:val="000000"/>
                      <w:sz w:val="21"/>
                      <w:szCs w:val="21"/>
                    </w:rPr>
                  </w:pPr>
                </w:p>
              </w:tc>
              <w:tc>
                <w:tcPr>
                  <w:tcW w:w="16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b w:val="0"/>
                      <w:bCs w:val="0"/>
                      <w:color w:val="auto"/>
                      <w:spacing w:val="0"/>
                      <w:w w:val="100"/>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2</w:t>
                  </w:r>
                  <w:r>
                    <w:rPr>
                      <w:rFonts w:hint="eastAsia" w:ascii="Times New Roman" w:hAnsi="Times New Roman" w:eastAsia="宋体" w:cs="Times New Roman"/>
                      <w:snapToGrid/>
                      <w:color w:val="auto"/>
                      <w:kern w:val="2"/>
                      <w:sz w:val="21"/>
                      <w:szCs w:val="21"/>
                      <w:highlight w:val="none"/>
                      <w:lang w:val="en-US" w:eastAsia="zh-CN" w:bidi="ar-SA"/>
                    </w:rPr>
                    <w:t>东厂界外</w:t>
                  </w:r>
                  <w:r>
                    <w:rPr>
                      <w:rFonts w:hint="default" w:ascii="Times New Roman" w:hAnsi="Times New Roman" w:eastAsia="宋体" w:cs="Times New Roman"/>
                      <w:snapToGrid/>
                      <w:color w:val="auto"/>
                      <w:kern w:val="2"/>
                      <w:sz w:val="21"/>
                      <w:szCs w:val="21"/>
                      <w:highlight w:val="none"/>
                      <w:lang w:val="en-US" w:eastAsia="zh-CN" w:bidi="ar-SA"/>
                    </w:rPr>
                    <w:t>1</w:t>
                  </w:r>
                  <w:r>
                    <w:rPr>
                      <w:rFonts w:hint="eastAsia" w:ascii="Times New Roman" w:hAnsi="Times New Roman" w:eastAsia="宋体" w:cs="Times New Roman"/>
                      <w:snapToGrid/>
                      <w:color w:val="auto"/>
                      <w:kern w:val="2"/>
                      <w:sz w:val="21"/>
                      <w:szCs w:val="21"/>
                      <w:highlight w:val="none"/>
                      <w:lang w:val="en-US" w:eastAsia="zh-CN" w:bidi="ar-SA"/>
                    </w:rPr>
                    <w:t>m</w:t>
                  </w: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61" w:type="pct"/>
                  <w:vMerge w:val="continue"/>
                  <w:noWrap w:val="0"/>
                  <w:vAlign w:val="center"/>
                </w:tcPr>
                <w:p>
                  <w:pPr>
                    <w:spacing w:line="240" w:lineRule="exact"/>
                    <w:jc w:val="center"/>
                    <w:rPr>
                      <w:rFonts w:hint="default" w:ascii="Times New Roman" w:hAnsi="Times New Roman" w:eastAsia="宋体" w:cs="Times New Roman"/>
                      <w:bCs/>
                      <w:color w:val="000000"/>
                      <w:sz w:val="21"/>
                      <w:szCs w:val="21"/>
                    </w:rPr>
                  </w:pPr>
                </w:p>
              </w:tc>
              <w:tc>
                <w:tcPr>
                  <w:tcW w:w="16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b w:val="0"/>
                      <w:bCs w:val="0"/>
                      <w:color w:val="auto"/>
                      <w:spacing w:val="0"/>
                      <w:w w:val="100"/>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3</w:t>
                  </w:r>
                  <w:r>
                    <w:rPr>
                      <w:rFonts w:hint="eastAsia" w:ascii="Times New Roman" w:hAnsi="Times New Roman" w:eastAsia="宋体" w:cs="Times New Roman"/>
                      <w:snapToGrid/>
                      <w:color w:val="auto"/>
                      <w:kern w:val="2"/>
                      <w:sz w:val="21"/>
                      <w:szCs w:val="21"/>
                      <w:highlight w:val="none"/>
                      <w:lang w:val="en-US" w:eastAsia="zh-CN" w:bidi="ar-SA"/>
                    </w:rPr>
                    <w:t>西厂界外</w:t>
                  </w:r>
                  <w:r>
                    <w:rPr>
                      <w:rFonts w:hint="default" w:ascii="Times New Roman" w:hAnsi="Times New Roman" w:eastAsia="宋体" w:cs="Times New Roman"/>
                      <w:snapToGrid/>
                      <w:color w:val="auto"/>
                      <w:kern w:val="2"/>
                      <w:sz w:val="21"/>
                      <w:szCs w:val="21"/>
                      <w:highlight w:val="none"/>
                      <w:lang w:val="en-US" w:eastAsia="zh-CN" w:bidi="ar-SA"/>
                    </w:rPr>
                    <w:t>1</w:t>
                  </w:r>
                  <w:r>
                    <w:rPr>
                      <w:rFonts w:hint="eastAsia" w:ascii="Times New Roman" w:hAnsi="Times New Roman" w:eastAsia="宋体" w:cs="Times New Roman"/>
                      <w:snapToGrid/>
                      <w:color w:val="auto"/>
                      <w:kern w:val="2"/>
                      <w:sz w:val="21"/>
                      <w:szCs w:val="21"/>
                      <w:highlight w:val="none"/>
                      <w:lang w:val="en-US" w:eastAsia="zh-CN" w:bidi="ar-SA"/>
                    </w:rPr>
                    <w:t>m</w:t>
                  </w: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86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40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sz w:val="21"/>
                      <w:szCs w:val="21"/>
                      <w:highlight w:val="none"/>
                      <w:vertAlign w:val="baseline"/>
                      <w:lang w:val="en-US" w:eastAsia="zh-CN"/>
                    </w:rPr>
                  </w:pPr>
                  <w:r>
                    <w:rPr>
                      <w:rFonts w:hint="default" w:ascii="Times New Roman" w:hAnsi="Times New Roman" w:cs="Times New Roman"/>
                      <w:b w:val="0"/>
                      <w:bCs w:val="0"/>
                      <w:color w:val="auto"/>
                      <w:spacing w:val="0"/>
                      <w:w w:val="100"/>
                      <w:sz w:val="21"/>
                      <w:szCs w:val="21"/>
                      <w:highlight w:val="none"/>
                      <w:vertAlign w:val="baseline"/>
                      <w:lang w:val="en-US" w:eastAsia="zh-CN"/>
                    </w:rPr>
                    <w:t>《工业企业厂界环境噪声排放标准》（GB12348-2008）3类标准</w:t>
                  </w: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65</w:t>
                  </w:r>
                </w:p>
              </w:tc>
              <w:tc>
                <w:tcPr>
                  <w:tcW w:w="8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c>
                <w:tcPr>
                  <w:tcW w:w="86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w:t>
                  </w:r>
                </w:p>
              </w:tc>
            </w:tr>
          </w:tbl>
          <w:p>
            <w:pPr>
              <w:pStyle w:val="38"/>
              <w:ind w:left="0" w:leftChars="0" w:firstLine="0" w:firstLineChars="0"/>
              <w:jc w:val="center"/>
              <w:rPr>
                <w:rFonts w:hint="default" w:ascii="Times New Roman" w:hAnsi="Times New Roman" w:cs="Times New Roman"/>
                <w:color w:val="auto"/>
                <w:sz w:val="24"/>
                <w:szCs w:val="24"/>
                <w:highlight w:val="none"/>
                <w:lang w:val="en-US" w:eastAsia="zh-CN"/>
              </w:rPr>
            </w:pPr>
          </w:p>
          <w:p>
            <w:pPr>
              <w:pStyle w:val="38"/>
              <w:rPr>
                <w:rFonts w:hint="default" w:ascii="Times New Roman" w:hAnsi="Times New Roman" w:cs="Times New Roman"/>
                <w:color w:val="auto"/>
                <w:sz w:val="24"/>
                <w:szCs w:val="24"/>
                <w:highlight w:val="none"/>
                <w:lang w:val="en-US" w:eastAsia="zh-CN"/>
              </w:rPr>
            </w:pPr>
          </w:p>
        </w:tc>
      </w:tr>
    </w:tbl>
    <w:p>
      <w:pPr>
        <w:rPr>
          <w:rFonts w:hint="default" w:ascii="Times New Roman" w:hAnsi="Times New Roman" w:cs="Times New Roman"/>
          <w:highlight w:val="none"/>
          <w:lang w:eastAsia="zh-CN"/>
        </w:rPr>
      </w:pPr>
    </w:p>
    <w:p>
      <w:pPr>
        <w:pStyle w:val="38"/>
        <w:rPr>
          <w:rFonts w:hint="default" w:ascii="Times New Roman" w:hAnsi="Times New Roman" w:cs="Times New Roman"/>
          <w:highlight w:val="none"/>
          <w:lang w:eastAsia="zh-CN"/>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224" w:beforeLines="70" w:after="224" w:afterLines="70"/>
        <w:textAlignment w:val="auto"/>
        <w:rPr>
          <w:rFonts w:hint="default" w:ascii="Times New Roman" w:hAnsi="Times New Roman" w:cs="Times New Roman"/>
          <w:highlight w:val="none"/>
          <w:lang w:eastAsia="zh-CN"/>
        </w:rPr>
      </w:pPr>
      <w:bookmarkStart w:id="87" w:name="_Toc5027"/>
      <w:bookmarkStart w:id="88" w:name="_Toc3880"/>
      <w:r>
        <w:rPr>
          <w:rFonts w:hint="default" w:ascii="Times New Roman" w:hAnsi="Times New Roman" w:cs="Times New Roman"/>
          <w:highlight w:val="none"/>
          <w:lang w:eastAsia="zh-CN"/>
        </w:rPr>
        <w:t>表八</w:t>
      </w:r>
      <w:r>
        <w:rPr>
          <w:rFonts w:hint="default" w:ascii="Times New Roman" w:hAnsi="Times New Roman" w:cs="Times New Roman"/>
          <w:highlight w:val="none"/>
          <w:lang w:val="en-US" w:eastAsia="zh-CN"/>
        </w:rPr>
        <w:t xml:space="preserve">  验收监测结论</w:t>
      </w:r>
      <w:bookmarkEnd w:id="87"/>
      <w:bookmarkEnd w:id="88"/>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8" w:type="dxa"/>
            <w:noWrap w:val="0"/>
            <w:vAlign w:val="center"/>
          </w:tcPr>
          <w:p>
            <w:pPr>
              <w:pStyle w:val="6"/>
              <w:rPr>
                <w:rFonts w:hint="default" w:ascii="Times New Roman" w:hAnsi="Times New Roman" w:cs="Times New Roman"/>
                <w:highlight w:val="none"/>
                <w:lang w:val="en-US" w:eastAsia="zh-CN"/>
              </w:rPr>
            </w:pPr>
            <w:bookmarkStart w:id="89" w:name="_Toc12172"/>
            <w:bookmarkStart w:id="90" w:name="_Toc6181"/>
            <w:r>
              <w:rPr>
                <w:rFonts w:hint="default" w:ascii="Times New Roman" w:hAnsi="Times New Roman" w:cs="Times New Roman"/>
                <w:highlight w:val="none"/>
                <w:lang w:val="en-US" w:eastAsia="zh-CN"/>
              </w:rPr>
              <w:t>8.1环境保</w:t>
            </w:r>
            <w:r>
              <w:rPr>
                <w:rFonts w:hint="eastAsia" w:ascii="Times New Roman" w:hAnsi="Times New Roman" w:cs="Times New Roman"/>
                <w:highlight w:val="none"/>
                <w:lang w:val="en-US" w:eastAsia="zh-CN"/>
              </w:rPr>
              <w:t>护</w:t>
            </w:r>
            <w:r>
              <w:rPr>
                <w:rFonts w:hint="default" w:ascii="Times New Roman" w:hAnsi="Times New Roman" w:cs="Times New Roman"/>
                <w:highlight w:val="none"/>
                <w:lang w:val="en-US" w:eastAsia="zh-CN"/>
              </w:rPr>
              <w:t>设施调试效果</w:t>
            </w:r>
            <w:bookmarkEnd w:id="89"/>
            <w:bookmarkEnd w:id="90"/>
          </w:p>
          <w:p>
            <w:pPr>
              <w:pStyle w:val="7"/>
              <w:rPr>
                <w:rFonts w:hint="default" w:ascii="Times New Roman" w:hAnsi="Times New Roman" w:cs="Times New Roman"/>
                <w:highlight w:val="none"/>
                <w:lang w:val="en-US" w:eastAsia="zh-CN"/>
              </w:rPr>
            </w:pPr>
            <w:bookmarkStart w:id="91" w:name="_Toc7781"/>
            <w:bookmarkStart w:id="92" w:name="_Toc16399"/>
            <w:bookmarkStart w:id="93" w:name="_Toc21749"/>
            <w:r>
              <w:rPr>
                <w:rFonts w:hint="default" w:ascii="Times New Roman" w:hAnsi="Times New Roman" w:cs="Times New Roman"/>
                <w:highlight w:val="none"/>
                <w:lang w:val="en-US" w:eastAsia="zh-CN"/>
              </w:rPr>
              <w:t>8.1.1废</w:t>
            </w:r>
            <w:bookmarkEnd w:id="91"/>
            <w:bookmarkEnd w:id="92"/>
            <w:r>
              <w:rPr>
                <w:rFonts w:hint="default" w:ascii="Times New Roman" w:hAnsi="Times New Roman" w:cs="Times New Roman"/>
                <w:highlight w:val="none"/>
                <w:lang w:val="en-US" w:eastAsia="zh-CN"/>
              </w:rPr>
              <w:t>水</w:t>
            </w:r>
            <w:bookmarkEnd w:id="9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监测结果显示，</w:t>
            </w:r>
            <w:r>
              <w:rPr>
                <w:rFonts w:hint="eastAsia" w:cs="Times New Roman"/>
                <w:color w:val="auto"/>
                <w:sz w:val="24"/>
                <w:szCs w:val="24"/>
                <w:highlight w:val="none"/>
                <w:lang w:val="en-US" w:eastAsia="zh-CN"/>
              </w:rPr>
              <w:t>厂区排放</w:t>
            </w:r>
            <w:r>
              <w:rPr>
                <w:rFonts w:hint="eastAsia" w:ascii="Times New Roman" w:hAnsi="Times New Roman" w:eastAsia="宋体" w:cs="Times New Roman"/>
                <w:color w:val="auto"/>
                <w:sz w:val="24"/>
                <w:szCs w:val="24"/>
                <w:highlight w:val="none"/>
                <w:lang w:val="en-US" w:eastAsia="zh-CN"/>
              </w:rPr>
              <w:t>废水pH、悬浮物、COD</w:t>
            </w:r>
            <w:r>
              <w:rPr>
                <w:rFonts w:hint="eastAsia" w:cs="Times New Roman"/>
                <w:color w:val="auto"/>
                <w:sz w:val="24"/>
                <w:szCs w:val="24"/>
                <w:highlight w:val="none"/>
                <w:lang w:val="en-US" w:eastAsia="zh-CN"/>
              </w:rPr>
              <w:t>、BOD</w:t>
            </w:r>
            <w:r>
              <w:rPr>
                <w:rFonts w:hint="eastAsia"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符合《污水综合排放标准》（GB8978-1996）表4三级排放标准</w:t>
            </w:r>
            <w:r>
              <w:rPr>
                <w:rFonts w:hint="eastAsia" w:ascii="Times New Roman" w:hAnsi="Times New Roman" w:cs="Times New Roman"/>
                <w:color w:val="auto"/>
                <w:sz w:val="24"/>
                <w:szCs w:val="24"/>
                <w:highlight w:val="none"/>
                <w:lang w:val="en-US" w:eastAsia="zh-CN"/>
              </w:rPr>
              <w:t>（6≤pH≤9、悬浮物≤400mg/L、COD≤500mg/L</w:t>
            </w:r>
            <w:r>
              <w:rPr>
                <w:rFonts w:hint="eastAsia" w:cs="Times New Roman"/>
                <w:color w:val="auto"/>
                <w:sz w:val="24"/>
                <w:szCs w:val="24"/>
                <w:highlight w:val="none"/>
                <w:lang w:val="en-US" w:eastAsia="zh-CN"/>
              </w:rPr>
              <w:t>、BOD</w:t>
            </w:r>
            <w:r>
              <w:rPr>
                <w:rFonts w:hint="eastAsia"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≤300mg/L）</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氨氮</w:t>
            </w:r>
            <w:r>
              <w:rPr>
                <w:rFonts w:hint="eastAsia" w:cs="Times New Roman"/>
                <w:color w:val="auto"/>
                <w:sz w:val="24"/>
                <w:szCs w:val="24"/>
                <w:highlight w:val="none"/>
                <w:lang w:val="en-US" w:eastAsia="zh-CN"/>
              </w:rPr>
              <w:t>、总磷</w:t>
            </w:r>
            <w:r>
              <w:rPr>
                <w:rFonts w:hint="eastAsia" w:ascii="Times New Roman" w:hAnsi="Times New Roman" w:eastAsia="宋体" w:cs="Times New Roman"/>
                <w:color w:val="auto"/>
                <w:sz w:val="24"/>
                <w:szCs w:val="24"/>
                <w:highlight w:val="none"/>
                <w:lang w:val="en-US" w:eastAsia="zh-CN"/>
              </w:rPr>
              <w:t>符合《污水排入城镇下水道水质标准》（GB/T31962-2015）中B级标准</w:t>
            </w:r>
            <w:r>
              <w:rPr>
                <w:rFonts w:hint="eastAsia" w:ascii="Times New Roman" w:hAnsi="Times New Roman" w:cs="Times New Roman"/>
                <w:color w:val="auto"/>
                <w:sz w:val="24"/>
                <w:szCs w:val="24"/>
                <w:highlight w:val="none"/>
                <w:lang w:val="en-US" w:eastAsia="zh-CN"/>
              </w:rPr>
              <w:t>（氨氮≤45mg/L</w:t>
            </w:r>
            <w:r>
              <w:rPr>
                <w:rFonts w:hint="eastAsia" w:cs="Times New Roman"/>
                <w:color w:val="auto"/>
                <w:sz w:val="24"/>
                <w:szCs w:val="24"/>
                <w:highlight w:val="none"/>
                <w:lang w:val="en-US" w:eastAsia="zh-CN"/>
              </w:rPr>
              <w:t>、总磷</w:t>
            </w:r>
            <w:r>
              <w:rPr>
                <w:rFonts w:hint="eastAsia" w:ascii="Times New Roman" w:hAnsi="Times New Roman" w:cs="Times New Roman"/>
                <w:color w:val="auto"/>
                <w:sz w:val="24"/>
                <w:szCs w:val="24"/>
                <w:highlight w:val="none"/>
                <w:lang w:val="en-US" w:eastAsia="zh-CN"/>
              </w:rPr>
              <w:t>≤8mg/L）</w:t>
            </w:r>
            <w:r>
              <w:rPr>
                <w:rFonts w:hint="eastAsia" w:cs="Times New Roman"/>
                <w:color w:val="auto"/>
                <w:sz w:val="24"/>
                <w:szCs w:val="24"/>
                <w:highlight w:val="none"/>
                <w:lang w:val="en-US" w:eastAsia="zh-CN"/>
              </w:rPr>
              <w:t>；厂区排放</w:t>
            </w:r>
            <w:r>
              <w:rPr>
                <w:rFonts w:hint="eastAsia" w:ascii="Times New Roman" w:hAnsi="Times New Roman" w:eastAsia="宋体" w:cs="Times New Roman"/>
                <w:color w:val="auto"/>
                <w:sz w:val="24"/>
                <w:szCs w:val="24"/>
                <w:highlight w:val="none"/>
                <w:lang w:val="en-US" w:eastAsia="zh-CN"/>
              </w:rPr>
              <w:t>废水同时符合排污许可证中排水协议规定的浓度限值（</w:t>
            </w:r>
            <w:r>
              <w:rPr>
                <w:rFonts w:hint="eastAsia" w:ascii="Times New Roman" w:hAnsi="Times New Roman" w:cs="Times New Roman"/>
                <w:color w:val="auto"/>
                <w:sz w:val="24"/>
                <w:szCs w:val="24"/>
                <w:highlight w:val="none"/>
                <w:lang w:val="en-US" w:eastAsia="zh-CN"/>
              </w:rPr>
              <w:t>6≤pH≤9、悬浮物≤300mg/L、COD≤360mg/L</w:t>
            </w:r>
            <w:r>
              <w:rPr>
                <w:rFonts w:hint="eastAsia" w:cs="Times New Roman"/>
                <w:color w:val="auto"/>
                <w:sz w:val="24"/>
                <w:szCs w:val="24"/>
                <w:highlight w:val="none"/>
                <w:lang w:val="en-US" w:eastAsia="zh-CN"/>
              </w:rPr>
              <w:t>、BOD</w:t>
            </w:r>
            <w:r>
              <w:rPr>
                <w:rFonts w:hint="eastAsia"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≤150mg/L、氨氮≤35mg/L</w:t>
            </w:r>
            <w:r>
              <w:rPr>
                <w:rFonts w:hint="eastAsia" w:cs="Times New Roman"/>
                <w:color w:val="auto"/>
                <w:sz w:val="24"/>
                <w:szCs w:val="24"/>
                <w:highlight w:val="none"/>
                <w:lang w:val="en-US" w:eastAsia="zh-CN"/>
              </w:rPr>
              <w:t>、总磷</w:t>
            </w:r>
            <w:r>
              <w:rPr>
                <w:rFonts w:hint="eastAsia" w:ascii="Times New Roman" w:hAnsi="Times New Roman" w:cs="Times New Roman"/>
                <w:color w:val="auto"/>
                <w:sz w:val="24"/>
                <w:szCs w:val="24"/>
                <w:highlight w:val="none"/>
                <w:lang w:val="en-US" w:eastAsia="zh-CN"/>
              </w:rPr>
              <w:t>≤3.5mg/L</w:t>
            </w:r>
            <w:r>
              <w:rPr>
                <w:rFonts w:hint="eastAsia" w:ascii="Times New Roman" w:hAnsi="Times New Roman" w:eastAsia="宋体" w:cs="Times New Roman"/>
                <w:color w:val="auto"/>
                <w:sz w:val="24"/>
                <w:szCs w:val="24"/>
                <w:highlight w:val="none"/>
                <w:lang w:val="en-US" w:eastAsia="zh-CN"/>
              </w:rPr>
              <w:t>）。</w:t>
            </w:r>
          </w:p>
          <w:p>
            <w:pPr>
              <w:pStyle w:val="7"/>
              <w:rPr>
                <w:rFonts w:hint="default" w:ascii="Times New Roman" w:hAnsi="Times New Roman" w:cs="Times New Roman"/>
                <w:color w:val="auto"/>
                <w:highlight w:val="none"/>
                <w:lang w:val="en-US" w:eastAsia="zh-CN"/>
              </w:rPr>
            </w:pPr>
            <w:bookmarkStart w:id="94" w:name="_Toc5054"/>
            <w:r>
              <w:rPr>
                <w:rFonts w:hint="default" w:ascii="Times New Roman" w:hAnsi="Times New Roman" w:cs="Times New Roman"/>
                <w:color w:val="auto"/>
                <w:highlight w:val="none"/>
                <w:lang w:val="en-US" w:eastAsia="zh-CN"/>
              </w:rPr>
              <w:t>8.1.2废气</w:t>
            </w:r>
            <w:bookmarkEnd w:id="9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监测结果显示</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（1）二次破碎</w:t>
            </w:r>
            <w:r>
              <w:rPr>
                <w:rFonts w:hint="default" w:ascii="Times New Roman" w:hAnsi="Times New Roman" w:cs="Times New Roman"/>
                <w:color w:val="auto"/>
                <w:sz w:val="24"/>
                <w:szCs w:val="24"/>
                <w:highlight w:val="none"/>
                <w:lang w:val="en-US" w:eastAsia="zh-CN"/>
              </w:rPr>
              <w:t>废气（DA00</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颗粒物排放符合</w:t>
            </w:r>
            <w:r>
              <w:rPr>
                <w:rFonts w:hint="default" w:ascii="Times New Roman" w:hAnsi="Times New Roman" w:cs="Times New Roman"/>
                <w:color w:val="auto"/>
                <w:sz w:val="24"/>
                <w:szCs w:val="24"/>
                <w:highlight w:val="none"/>
                <w:lang w:val="en-US" w:eastAsia="zh-CN"/>
              </w:rPr>
              <w:t>《大气污染物综合排放标准》（GB16297-1996）表2中二级标准</w:t>
            </w:r>
            <w:r>
              <w:rPr>
                <w:rFonts w:hint="eastAsia" w:ascii="Times New Roman" w:hAnsi="Times New Roman" w:cs="Times New Roman"/>
                <w:color w:val="auto"/>
                <w:sz w:val="24"/>
                <w:szCs w:val="24"/>
                <w:highlight w:val="none"/>
                <w:lang w:val="en-US" w:eastAsia="zh-CN"/>
              </w:rPr>
              <w:t>（颗粒物浓度≤120mg/m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，颗粒物速率≤</w:t>
            </w:r>
            <w:r>
              <w:rPr>
                <w:rFonts w:hint="eastAsia" w:cs="Times New Roman"/>
                <w:color w:val="auto"/>
                <w:sz w:val="24"/>
                <w:szCs w:val="24"/>
                <w:highlight w:val="none"/>
                <w:lang w:val="en-US" w:eastAsia="zh-CN"/>
              </w:rPr>
              <w:t>5.9</w:t>
            </w:r>
            <w:r>
              <w:rPr>
                <w:rFonts w:hint="eastAsia" w:ascii="Times New Roman" w:hAnsi="Times New Roman" w:cs="Times New Roman"/>
                <w:color w:val="auto"/>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上、下风向厂界无组织中颗粒物</w:t>
            </w:r>
            <w:r>
              <w:rPr>
                <w:rFonts w:hint="eastAsia" w:cs="Times New Roman"/>
                <w:color w:val="auto"/>
                <w:sz w:val="24"/>
                <w:szCs w:val="24"/>
                <w:highlight w:val="none"/>
                <w:lang w:val="en-US" w:eastAsia="zh-CN"/>
              </w:rPr>
              <w:t>浓度</w:t>
            </w:r>
            <w:r>
              <w:rPr>
                <w:rFonts w:hint="eastAsia" w:ascii="Times New Roman" w:hAnsi="Times New Roman" w:cs="Times New Roman"/>
                <w:color w:val="auto"/>
                <w:sz w:val="24"/>
                <w:szCs w:val="24"/>
                <w:highlight w:val="none"/>
                <w:lang w:val="en-US" w:eastAsia="zh-CN"/>
              </w:rPr>
              <w:t>符合</w:t>
            </w:r>
            <w:r>
              <w:rPr>
                <w:rFonts w:hint="default" w:ascii="Times New Roman" w:hAnsi="Times New Roman" w:cs="Times New Roman"/>
                <w:color w:val="auto"/>
                <w:sz w:val="24"/>
                <w:szCs w:val="24"/>
                <w:highlight w:val="none"/>
                <w:lang w:val="en-US" w:eastAsia="zh-CN"/>
              </w:rPr>
              <w:t>《大气污染物综合排放标准》</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GB16297-1996</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表2周界外浓度最高点标准</w:t>
            </w:r>
            <w:r>
              <w:rPr>
                <w:rFonts w:hint="eastAsia" w:cs="Times New Roman"/>
                <w:color w:val="auto"/>
                <w:sz w:val="24"/>
                <w:szCs w:val="24"/>
                <w:highlight w:val="none"/>
                <w:lang w:val="en-US" w:eastAsia="zh-CN"/>
              </w:rPr>
              <w:t>限值</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颗粒物</w:t>
            </w:r>
            <w:r>
              <w:rPr>
                <w:rFonts w:hint="eastAsia" w:ascii="Times New Roman" w:hAnsi="Times New Roman" w:cs="Times New Roman"/>
                <w:color w:val="auto"/>
                <w:sz w:val="24"/>
                <w:szCs w:val="24"/>
                <w:highlight w:val="none"/>
                <w:lang w:val="en-US" w:eastAsia="zh-CN"/>
              </w:rPr>
              <w:t>≤1mg/m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w:t>
            </w:r>
          </w:p>
          <w:p>
            <w:pPr>
              <w:pStyle w:val="7"/>
              <w:rPr>
                <w:rFonts w:hint="default" w:ascii="Times New Roman" w:hAnsi="Times New Roman" w:cs="Times New Roman"/>
                <w:highlight w:val="none"/>
                <w:lang w:val="en-US" w:eastAsia="zh-CN"/>
              </w:rPr>
            </w:pPr>
            <w:bookmarkStart w:id="95" w:name="_Toc15110"/>
            <w:bookmarkStart w:id="96" w:name="_Toc7352"/>
            <w:bookmarkStart w:id="97" w:name="_Toc20629"/>
            <w:r>
              <w:rPr>
                <w:rFonts w:hint="default" w:ascii="Times New Roman" w:hAnsi="Times New Roman" w:cs="Times New Roman"/>
                <w:highlight w:val="none"/>
                <w:lang w:val="en-US" w:eastAsia="zh-CN"/>
              </w:rPr>
              <w:t>8.1.3厂界噪声</w:t>
            </w:r>
            <w:bookmarkEnd w:id="95"/>
            <w:bookmarkEnd w:id="96"/>
            <w:bookmarkEnd w:id="97"/>
          </w:p>
          <w:p>
            <w:pPr>
              <w:pStyle w:val="38"/>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监测结果</w:t>
            </w:r>
            <w:r>
              <w:rPr>
                <w:rFonts w:hint="default" w:ascii="Times New Roman" w:hAnsi="Times New Roman" w:cs="Times New Roman"/>
                <w:color w:val="auto"/>
                <w:sz w:val="24"/>
                <w:szCs w:val="24"/>
                <w:highlight w:val="none"/>
                <w:lang w:val="en-US" w:eastAsia="zh-CN"/>
              </w:rPr>
              <w:t>显示，</w:t>
            </w:r>
            <w:r>
              <w:rPr>
                <w:rFonts w:hint="eastAsia" w:ascii="Times New Roman" w:hAnsi="Times New Roman" w:eastAsia="宋体" w:cs="Times New Roman"/>
                <w:color w:val="auto"/>
                <w:sz w:val="24"/>
                <w:szCs w:val="24"/>
                <w:highlight w:val="none"/>
                <w:lang w:val="en-US" w:eastAsia="zh-CN"/>
              </w:rPr>
              <w:t>厂界噪声符合</w:t>
            </w:r>
            <w:r>
              <w:rPr>
                <w:rFonts w:hint="default" w:ascii="Times New Roman" w:hAnsi="Times New Roman" w:eastAsia="宋体" w:cs="Times New Roman"/>
                <w:color w:val="auto"/>
                <w:sz w:val="24"/>
                <w:szCs w:val="24"/>
                <w:highlight w:val="none"/>
                <w:lang w:val="en-US" w:eastAsia="zh-CN"/>
              </w:rPr>
              <w:t>《工业企业厂界环境噪声排放标准》（GB12348-2008）</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类标准</w:t>
            </w:r>
            <w:r>
              <w:rPr>
                <w:rFonts w:hint="default" w:ascii="Times New Roman" w:hAnsi="Times New Roman" w:cs="Times New Roman"/>
                <w:color w:val="auto"/>
                <w:sz w:val="24"/>
                <w:szCs w:val="24"/>
                <w:highlight w:val="none"/>
                <w:lang w:val="en-US" w:eastAsia="zh-CN"/>
              </w:rPr>
              <w:t>。</w:t>
            </w:r>
          </w:p>
          <w:p>
            <w:pPr>
              <w:pStyle w:val="7"/>
              <w:rPr>
                <w:rFonts w:hint="default" w:ascii="Times New Roman" w:hAnsi="Times New Roman" w:cs="Times New Roman"/>
                <w:highlight w:val="none"/>
                <w:lang w:val="en-US" w:eastAsia="zh-CN"/>
              </w:rPr>
            </w:pPr>
            <w:bookmarkStart w:id="98" w:name="_Toc21323"/>
            <w:bookmarkStart w:id="99" w:name="_Toc17598"/>
            <w:bookmarkStart w:id="100" w:name="_Toc2100"/>
            <w:r>
              <w:rPr>
                <w:rFonts w:hint="default" w:ascii="Times New Roman" w:hAnsi="Times New Roman" w:cs="Times New Roman"/>
                <w:highlight w:val="none"/>
                <w:lang w:val="en-US" w:eastAsia="zh-CN"/>
              </w:rPr>
              <w:t>8.1.4主要污染物排放总量</w:t>
            </w:r>
            <w:bookmarkEnd w:id="98"/>
            <w:bookmarkEnd w:id="99"/>
            <w:bookmarkEnd w:id="100"/>
          </w:p>
          <w:p>
            <w:pPr>
              <w:pStyle w:val="38"/>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本项目建成后无SO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没有</w:t>
            </w:r>
            <w:r>
              <w:rPr>
                <w:rFonts w:hint="default" w:ascii="Times New Roman" w:hAnsi="Times New Roman" w:eastAsia="宋体" w:cs="Times New Roman"/>
                <w:color w:val="auto"/>
                <w:sz w:val="24"/>
                <w:szCs w:val="24"/>
                <w:highlight w:val="none"/>
                <w:lang w:val="en-US" w:eastAsia="zh-CN"/>
              </w:rPr>
              <w:t>生产废水</w:t>
            </w:r>
            <w:r>
              <w:rPr>
                <w:rFonts w:hint="eastAsia" w:ascii="Times New Roman" w:hAnsi="Times New Roman" w:eastAsia="宋体" w:cs="Times New Roman"/>
                <w:color w:val="auto"/>
                <w:sz w:val="24"/>
                <w:szCs w:val="24"/>
                <w:highlight w:val="none"/>
                <w:lang w:val="en-US" w:eastAsia="zh-CN"/>
              </w:rPr>
              <w:t>外排，不新增生活污水。</w:t>
            </w:r>
            <w:r>
              <w:rPr>
                <w:rFonts w:hint="default" w:ascii="Times New Roman" w:hAnsi="Times New Roman" w:eastAsia="宋体" w:cs="Times New Roman"/>
                <w:color w:val="auto"/>
                <w:sz w:val="24"/>
                <w:szCs w:val="24"/>
                <w:highlight w:val="none"/>
                <w:lang w:val="en-US" w:eastAsia="zh-CN"/>
              </w:rPr>
              <w:t>因此，</w:t>
            </w:r>
            <w:r>
              <w:rPr>
                <w:rFonts w:hint="eastAsia" w:ascii="Times New Roman" w:hAnsi="Times New Roman" w:eastAsia="宋体" w:cs="Times New Roman"/>
                <w:color w:val="auto"/>
                <w:sz w:val="24"/>
                <w:szCs w:val="24"/>
                <w:highlight w:val="none"/>
                <w:lang w:val="en-US" w:eastAsia="zh-CN"/>
              </w:rPr>
              <w:t>项目无需申请总量</w:t>
            </w:r>
            <w:r>
              <w:rPr>
                <w:rFonts w:hint="default" w:ascii="Times New Roman" w:hAnsi="Times New Roman" w:eastAsia="宋体" w:cs="Times New Roman"/>
                <w:color w:val="auto"/>
                <w:sz w:val="24"/>
                <w:szCs w:val="24"/>
                <w:highlight w:val="none"/>
                <w:lang w:val="en-US" w:eastAsia="zh-CN"/>
              </w:rPr>
              <w:t>。</w:t>
            </w:r>
          </w:p>
          <w:p>
            <w:pPr>
              <w:pStyle w:val="6"/>
              <w:rPr>
                <w:rFonts w:hint="default" w:ascii="Times New Roman" w:hAnsi="Times New Roman" w:cs="Times New Roman"/>
                <w:highlight w:val="none"/>
                <w:lang w:val="en-US" w:eastAsia="zh-CN"/>
              </w:rPr>
            </w:pPr>
            <w:bookmarkStart w:id="101" w:name="_Toc9580"/>
            <w:bookmarkStart w:id="102" w:name="_Toc19907"/>
            <w:bookmarkStart w:id="103" w:name="_Toc27055"/>
            <w:bookmarkStart w:id="104" w:name="_Toc14018"/>
            <w:r>
              <w:rPr>
                <w:rFonts w:hint="default" w:ascii="Times New Roman" w:hAnsi="Times New Roman" w:cs="Times New Roman"/>
                <w:highlight w:val="none"/>
                <w:lang w:val="en-US" w:eastAsia="zh-CN"/>
              </w:rPr>
              <w:t>8.2验收结论</w:t>
            </w:r>
            <w:bookmarkEnd w:id="101"/>
            <w:bookmarkEnd w:id="102"/>
            <w:bookmarkEnd w:id="103"/>
            <w:bookmarkEnd w:id="10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eastAsia="zh-CN"/>
              </w:rPr>
            </w:pPr>
            <w:r>
              <w:rPr>
                <w:rFonts w:hint="eastAsia" w:ascii="Times New Roman" w:hAnsi="Times New Roman" w:cs="Times New Roman"/>
                <w:sz w:val="24"/>
                <w:szCs w:val="24"/>
                <w:highlight w:val="none"/>
                <w:lang w:eastAsia="zh-CN"/>
              </w:rPr>
              <w:t>福安市青拓环保建材有限公司钢渣综合利用技改项目</w:t>
            </w:r>
            <w:r>
              <w:rPr>
                <w:rFonts w:hint="default" w:ascii="Times New Roman" w:hAnsi="Times New Roman" w:cs="Times New Roman"/>
                <w:color w:val="auto"/>
                <w:sz w:val="24"/>
                <w:szCs w:val="24"/>
                <w:highlight w:val="none"/>
                <w:lang w:eastAsia="zh-CN"/>
              </w:rPr>
              <w:t>落实了环评报告表和环评批复提出的各项环保措施，验收期间环保设施运行正常，污染物达标排放。按《建设项目竣工环境保护验收暂行办法》中所规定的验收情形对项目逐一对照核查，无不合格项，符合竣工环保验收条件，验收合格。</w:t>
            </w:r>
          </w:p>
          <w:p>
            <w:pPr>
              <w:pStyle w:val="9"/>
              <w:keepNext/>
              <w:keepLines/>
              <w:pageBreakBefore w:val="0"/>
              <w:widowControl w:val="0"/>
              <w:kinsoku/>
              <w:wordWrap/>
              <w:overflowPunct/>
              <w:topLinePunct w:val="0"/>
              <w:autoSpaceDE/>
              <w:autoSpaceDN/>
              <w:bidi w:val="0"/>
              <w:adjustRightInd w:val="0"/>
              <w:snapToGrid w:val="0"/>
              <w:spacing w:before="96" w:beforeLines="30" w:after="96" w:afterLines="30"/>
              <w:textAlignment w:val="auto"/>
              <w:rPr>
                <w:rFonts w:hint="default" w:ascii="Times New Roman" w:hAnsi="Times New Roman" w:cs="宋体"/>
                <w:highlight w:val="none"/>
                <w:lang w:val="en-US" w:eastAsia="zh-CN"/>
              </w:rPr>
            </w:pPr>
            <w:r>
              <w:rPr>
                <w:rFonts w:hint="default" w:ascii="Times New Roman" w:hAnsi="Times New Roman" w:cs="宋体"/>
                <w:highlight w:val="none"/>
                <w:lang w:val="en-US" w:eastAsia="zh-CN"/>
              </w:rPr>
              <w:t>表8.2-1  不得提出验收合格意见的情形对照表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2921"/>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不得提出验收合格意见的情形</w:t>
                  </w:r>
                </w:p>
              </w:tc>
              <w:tc>
                <w:tcPr>
                  <w:tcW w:w="1612"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工程情况</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是否存在该情形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（一）未按环境影响报告书</w:t>
                  </w:r>
                  <w:r>
                    <w:rPr>
                      <w:rFonts w:hint="default"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lang w:val="en-US" w:eastAsia="zh-CN"/>
                    </w:rPr>
                    <w:t>表</w:t>
                  </w:r>
                  <w:r>
                    <w:rPr>
                      <w:rFonts w:hint="default"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及其审批部门审批决定要求建成环境保护设施，或者环境保护设施不能与主体工程同时投产或者使用的；</w:t>
                  </w:r>
                </w:p>
              </w:tc>
              <w:tc>
                <w:tcPr>
                  <w:tcW w:w="1612"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工程已按环境影响报告</w:t>
                  </w:r>
                  <w:r>
                    <w:rPr>
                      <w:rFonts w:hint="default" w:ascii="Times New Roman" w:hAnsi="Times New Roman" w:cs="Times New Roman"/>
                      <w:b w:val="0"/>
                      <w:bCs/>
                      <w:color w:val="auto"/>
                      <w:sz w:val="21"/>
                      <w:szCs w:val="21"/>
                      <w:highlight w:val="none"/>
                      <w:lang w:val="en-US" w:eastAsia="zh-CN"/>
                    </w:rPr>
                    <w:t>表</w:t>
                  </w:r>
                  <w:r>
                    <w:rPr>
                      <w:rFonts w:hint="default" w:ascii="Times New Roman" w:hAnsi="Times New Roman" w:cs="Times New Roman"/>
                      <w:b w:val="0"/>
                      <w:bCs/>
                      <w:color w:val="auto"/>
                      <w:sz w:val="21"/>
                      <w:szCs w:val="21"/>
                      <w:highlight w:val="none"/>
                    </w:rPr>
                    <w:t>及审批部门审批决定要求建成环境保护设施，并同时投入使用。</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（二）污染物排放不符合国家和地方相关标准、环境影响报告书及其审批部门审批决定或者重点污染物排放总量控制指标要求的；</w:t>
                  </w:r>
                </w:p>
              </w:tc>
              <w:tc>
                <w:tcPr>
                  <w:tcW w:w="1612"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验收期间</w:t>
                  </w:r>
                  <w:r>
                    <w:rPr>
                      <w:rFonts w:hint="default" w:ascii="Times New Roman" w:hAnsi="Times New Roman" w:cs="Times New Roman"/>
                      <w:b w:val="0"/>
                      <w:bCs/>
                      <w:color w:val="auto"/>
                      <w:sz w:val="21"/>
                      <w:szCs w:val="21"/>
                      <w:highlight w:val="none"/>
                    </w:rPr>
                    <w:t>废水</w:t>
                  </w:r>
                  <w:r>
                    <w:rPr>
                      <w:rFonts w:hint="default"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废气</w:t>
                  </w:r>
                  <w:r>
                    <w:rPr>
                      <w:rFonts w:hint="default"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lang w:val="en-US" w:eastAsia="zh-CN"/>
                    </w:rPr>
                    <w:t>噪声</w:t>
                  </w:r>
                  <w:r>
                    <w:rPr>
                      <w:rFonts w:hint="default" w:ascii="Times New Roman" w:hAnsi="Times New Roman" w:cs="Times New Roman"/>
                      <w:b w:val="0"/>
                      <w:bCs/>
                      <w:color w:val="auto"/>
                      <w:sz w:val="21"/>
                      <w:szCs w:val="21"/>
                      <w:highlight w:val="none"/>
                    </w:rPr>
                    <w:t>排放符合相应排放标准，</w:t>
                  </w:r>
                  <w:r>
                    <w:rPr>
                      <w:rFonts w:hint="eastAsia" w:cs="Times New Roman"/>
                      <w:b w:val="0"/>
                      <w:bCs/>
                      <w:color w:val="auto"/>
                      <w:sz w:val="21"/>
                      <w:szCs w:val="21"/>
                      <w:highlight w:val="none"/>
                      <w:lang w:val="en-US" w:eastAsia="zh-CN"/>
                    </w:rPr>
                    <w:t>项目无须申请</w:t>
                  </w:r>
                  <w:r>
                    <w:rPr>
                      <w:rFonts w:hint="default" w:ascii="Times New Roman" w:hAnsi="Times New Roman" w:cs="Times New Roman"/>
                      <w:b w:val="0"/>
                      <w:bCs/>
                      <w:color w:val="auto"/>
                      <w:sz w:val="21"/>
                      <w:szCs w:val="21"/>
                      <w:highlight w:val="none"/>
                    </w:rPr>
                    <w:t>总量。</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（三）环境影响报告书经批准后，该建设项目的性质、规模、地点、采用的生产工艺或者防治污染、防止生态破坏的措施发生重大变动，建设单位未重新报批环境影响报告书或者环境影响报告书未经批准的；</w:t>
                  </w:r>
                </w:p>
              </w:tc>
              <w:tc>
                <w:tcPr>
                  <w:tcW w:w="1612"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工程变动内容均不属于重大变动。</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（四）建设过程中造成重大环境污染未治理完成，或者造成重大生态破坏未恢复的；</w:t>
                  </w:r>
                </w:p>
              </w:tc>
              <w:tc>
                <w:tcPr>
                  <w:tcW w:w="1612"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建设过程中未造成重大环境污染，未造成重大生态破坏。</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（五）纳入排污许可管理的建设项目，无证排污或者不按证排污的；</w:t>
                  </w:r>
                </w:p>
              </w:tc>
              <w:tc>
                <w:tcPr>
                  <w:tcW w:w="1612"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项目已取得排污许可证，见附件</w:t>
                  </w:r>
                  <w:r>
                    <w:rPr>
                      <w:rFonts w:hint="eastAsia" w:ascii="Times New Roman" w:hAnsi="Times New Roman" w:cs="Times New Roman"/>
                      <w:b w:val="0"/>
                      <w:bCs/>
                      <w:color w:val="auto"/>
                      <w:sz w:val="21"/>
                      <w:szCs w:val="21"/>
                      <w:highlight w:val="none"/>
                      <w:lang w:val="en-US" w:eastAsia="zh-CN"/>
                    </w:rPr>
                    <w:t>5</w:t>
                  </w:r>
                  <w:r>
                    <w:rPr>
                      <w:rFonts w:hint="default" w:ascii="Times New Roman" w:hAnsi="Times New Roman" w:cs="Times New Roman"/>
                      <w:b w:val="0"/>
                      <w:bCs/>
                      <w:color w:val="auto"/>
                      <w:sz w:val="21"/>
                      <w:szCs w:val="21"/>
                      <w:highlight w:val="none"/>
                    </w:rPr>
                    <w:t>。</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（六）分期建设、分期投入生产或者使用依法应当分期验收的建设项目，其分期建设、分期投入生产或者使用的环境保护设施防治环境污染和生态破坏的能力不能满足其相应主体工程需要的；</w:t>
                  </w:r>
                </w:p>
              </w:tc>
              <w:tc>
                <w:tcPr>
                  <w:tcW w:w="1612"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本</w:t>
                  </w:r>
                  <w:r>
                    <w:rPr>
                      <w:rFonts w:hint="default" w:ascii="Times New Roman" w:hAnsi="Times New Roman" w:cs="Times New Roman"/>
                      <w:b w:val="0"/>
                      <w:bCs/>
                      <w:color w:val="auto"/>
                      <w:sz w:val="21"/>
                      <w:szCs w:val="21"/>
                      <w:highlight w:val="none"/>
                      <w:lang w:val="en-US" w:eastAsia="zh-CN"/>
                    </w:rPr>
                    <w:t>项目</w:t>
                  </w:r>
                  <w:r>
                    <w:rPr>
                      <w:rFonts w:hint="eastAsia" w:ascii="Times New Roman" w:hAnsi="Times New Roman" w:cs="Times New Roman"/>
                      <w:b w:val="0"/>
                      <w:bCs/>
                      <w:color w:val="auto"/>
                      <w:sz w:val="21"/>
                      <w:szCs w:val="21"/>
                      <w:highlight w:val="none"/>
                      <w:lang w:val="en-US" w:eastAsia="zh-CN"/>
                    </w:rPr>
                    <w:t>不</w:t>
                  </w:r>
                  <w:r>
                    <w:rPr>
                      <w:rFonts w:hint="default" w:ascii="Times New Roman" w:hAnsi="Times New Roman" w:cs="Times New Roman"/>
                      <w:b w:val="0"/>
                      <w:bCs/>
                      <w:color w:val="auto"/>
                      <w:sz w:val="21"/>
                      <w:szCs w:val="21"/>
                      <w:highlight w:val="none"/>
                      <w:lang w:val="en-US" w:eastAsia="zh-CN"/>
                    </w:rPr>
                    <w:t>分期建设。</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（七）建设单位因该建设项目违反国家和地方环境保护法律法规受到处罚，被责令改正，尚未改正完成的；</w:t>
                  </w:r>
                </w:p>
              </w:tc>
              <w:tc>
                <w:tcPr>
                  <w:tcW w:w="1612"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建设单位未因该建设项目违反国家和地方环境保护法律法规受到处罚。</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（八）验收报告的基础资料数据明显不实，内容存在重大缺项遗漏，或者验收结论不明确、不合理的；</w:t>
                  </w:r>
                </w:p>
              </w:tc>
              <w:tc>
                <w:tcPr>
                  <w:tcW w:w="1612"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验收报告的基础资料数据真实，内容不存在重大缺项遗漏，验收结论明确、合理。</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7"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（九）其他环境保护法律法规规章等规定不得通过环境保护验收的。</w:t>
                  </w:r>
                </w:p>
              </w:tc>
              <w:tc>
                <w:tcPr>
                  <w:tcW w:w="1612" w:type="pct"/>
                  <w:noWrap w:val="0"/>
                  <w:tcMar>
                    <w:top w:w="57" w:type="dxa"/>
                    <w:left w:w="57" w:type="dxa"/>
                    <w:bottom w:w="57"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项目不存在上述情况。</w:t>
                  </w:r>
                </w:p>
              </w:tc>
              <w:tc>
                <w:tcPr>
                  <w:tcW w:w="620" w:type="pct"/>
                  <w:noWrap w:val="0"/>
                  <w:tcMar>
                    <w:top w:w="57" w:type="dxa"/>
                    <w:left w:w="57" w:type="dxa"/>
                    <w:bottom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否</w:t>
                  </w:r>
                </w:p>
              </w:tc>
            </w:tr>
          </w:tbl>
          <w:p>
            <w:pPr>
              <w:pStyle w:val="6"/>
              <w:rPr>
                <w:rFonts w:hint="default" w:ascii="Times New Roman" w:hAnsi="Times New Roman" w:cs="Times New Roman"/>
                <w:color w:val="auto"/>
                <w:highlight w:val="none"/>
                <w:lang w:val="en-US" w:eastAsia="zh-CN"/>
              </w:rPr>
            </w:pPr>
            <w:bookmarkStart w:id="105" w:name="_Toc21308"/>
            <w:bookmarkStart w:id="106" w:name="_Toc16094"/>
            <w:bookmarkStart w:id="107" w:name="_Toc21599"/>
            <w:r>
              <w:rPr>
                <w:rFonts w:hint="default" w:ascii="Times New Roman" w:hAnsi="Times New Roman" w:cs="Times New Roman"/>
                <w:color w:val="auto"/>
                <w:highlight w:val="none"/>
                <w:lang w:val="en-US" w:eastAsia="zh-CN"/>
              </w:rPr>
              <w:t>8.3建议</w:t>
            </w:r>
            <w:bookmarkEnd w:id="105"/>
            <w:bookmarkEnd w:id="106"/>
            <w:bookmarkEnd w:id="10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进一步加强环保处理设施日常的运行管理、维护，确保各类污染物稳定达标排放</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后期应按环评及批复要求履行自行监测计划。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highlight w:val="none"/>
                <w:lang w:val="en-US"/>
              </w:rPr>
            </w:pPr>
          </w:p>
        </w:tc>
      </w:tr>
    </w:tbl>
    <w:p>
      <w:pPr>
        <w:jc w:val="center"/>
        <w:rPr>
          <w:rFonts w:hint="default" w:ascii="Times New Roman" w:hAnsi="Times New Roman" w:cs="Times New Roman"/>
          <w:highlight w:val="none"/>
          <w:lang w:val="en-US" w:eastAsia="zh-CN"/>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08" w:name="_Toc26639"/>
      <w:bookmarkStart w:id="109" w:name="_Toc19059"/>
      <w:bookmarkStart w:id="110" w:name="_Toc23706"/>
      <w:r>
        <w:rPr>
          <w:rFonts w:hint="default" w:ascii="Times New Roman" w:hAnsi="Times New Roman" w:cs="Times New Roman"/>
          <w:color w:val="auto"/>
          <w:sz w:val="28"/>
          <w:szCs w:val="28"/>
          <w:highlight w:val="none"/>
          <w:lang w:val="en-US" w:eastAsia="zh-CN"/>
        </w:rPr>
        <w:t>附图1：项目地理位置图</w:t>
      </w:r>
      <w:bookmarkEnd w:id="108"/>
      <w:bookmarkEnd w:id="109"/>
      <w:r>
        <w:rPr>
          <w:rFonts w:hint="eastAsia" w:ascii="Times New Roman" w:hAnsi="Times New Roman" w:cs="Times New Roman"/>
          <w:color w:val="auto"/>
          <w:sz w:val="28"/>
          <w:szCs w:val="28"/>
          <w:highlight w:val="none"/>
          <w:lang w:val="en-US" w:eastAsia="zh-CN"/>
        </w:rPr>
        <w:t>（与环评时一致）</w:t>
      </w:r>
      <w:bookmarkEnd w:id="110"/>
    </w:p>
    <w:p>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drawing>
          <wp:inline distT="0" distB="0" distL="114300" distR="114300">
            <wp:extent cx="5756275" cy="8004175"/>
            <wp:effectExtent l="0" t="0" r="15875" b="15875"/>
            <wp:docPr id="17" name="图片 17" descr="地理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地理位置"/>
                    <pic:cNvPicPr>
                      <a:picLocks noChangeAspect="1"/>
                    </pic:cNvPicPr>
                  </pic:nvPicPr>
                  <pic:blipFill>
                    <a:blip r:embed="rId6"/>
                    <a:stretch>
                      <a:fillRect/>
                    </a:stretch>
                  </pic:blipFill>
                  <pic:spPr>
                    <a:xfrm>
                      <a:off x="0" y="0"/>
                      <a:ext cx="5756275" cy="8004175"/>
                    </a:xfrm>
                    <a:prstGeom prst="rect">
                      <a:avLst/>
                    </a:prstGeom>
                  </pic:spPr>
                </pic:pic>
              </a:graphicData>
            </a:graphic>
          </wp:inline>
        </w:drawing>
      </w:r>
    </w:p>
    <w:p>
      <w:pPr>
        <w:pStyle w:val="38"/>
        <w:rPr>
          <w:rFonts w:hint="default" w:ascii="Times New Roman" w:hAnsi="Times New Roman" w:cs="Times New Roman"/>
          <w:highlight w:val="none"/>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11" w:name="_Toc718"/>
      <w:bookmarkStart w:id="112" w:name="_Toc3032"/>
      <w:bookmarkStart w:id="113" w:name="_Toc30818"/>
      <w:r>
        <w:rPr>
          <w:rFonts w:hint="default" w:ascii="Times New Roman" w:hAnsi="Times New Roman" w:cs="Times New Roman"/>
          <w:color w:val="auto"/>
          <w:sz w:val="28"/>
          <w:szCs w:val="28"/>
          <w:highlight w:val="none"/>
          <w:lang w:val="en-US" w:eastAsia="zh-CN"/>
        </w:rPr>
        <w:t>附图2：项目周边环境及敏感目标分布图</w:t>
      </w:r>
      <w:bookmarkEnd w:id="111"/>
      <w:bookmarkEnd w:id="112"/>
      <w:r>
        <w:rPr>
          <w:rFonts w:hint="eastAsia" w:ascii="Times New Roman" w:hAnsi="Times New Roman" w:cs="Times New Roman"/>
          <w:color w:val="auto"/>
          <w:sz w:val="28"/>
          <w:szCs w:val="28"/>
          <w:highlight w:val="none"/>
          <w:lang w:val="en-US" w:eastAsia="zh-CN"/>
        </w:rPr>
        <w:t>（与环评时一致）</w:t>
      </w:r>
      <w:bookmarkEnd w:id="113"/>
    </w:p>
    <w:p>
      <w:pPr>
        <w:pStyle w:val="27"/>
        <w:ind w:left="0" w:leftChars="0" w:firstLine="0" w:firstLineChars="0"/>
        <w:jc w:val="center"/>
        <w:rPr>
          <w:rFonts w:hint="default" w:ascii="Times New Roman" w:hAnsi="Times New Roman" w:eastAsia="宋体" w:cs="Times New Roman"/>
          <w:color w:val="auto"/>
          <w:sz w:val="24"/>
          <w:highlight w:val="none"/>
          <w:lang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27"/>
        <w:rPr>
          <w:rFonts w:hint="default" w:ascii="Times New Roman" w:hAnsi="Times New Roman" w:cs="Times New Roman"/>
          <w:color w:val="auto"/>
          <w:sz w:val="24"/>
          <w:highlight w:val="none"/>
        </w:rPr>
        <w:sectPr>
          <w:pgSz w:w="16838" w:h="11906" w:orient="landscape"/>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14" w:name="_Toc16429"/>
      <w:bookmarkStart w:id="115" w:name="_Toc3099"/>
      <w:bookmarkStart w:id="116" w:name="_Toc16528"/>
      <w:r>
        <w:rPr>
          <w:rFonts w:hint="default" w:ascii="Times New Roman" w:hAnsi="Times New Roman" w:cs="Times New Roman"/>
          <w:color w:val="auto"/>
          <w:sz w:val="28"/>
          <w:szCs w:val="28"/>
          <w:highlight w:val="none"/>
          <w:lang w:val="en-US" w:eastAsia="zh-CN"/>
        </w:rPr>
        <w:t>附图3：</w:t>
      </w:r>
      <w:r>
        <w:rPr>
          <w:rFonts w:hint="eastAsia" w:ascii="Times New Roman" w:hAnsi="Times New Roman" w:cs="Times New Roman"/>
          <w:color w:val="auto"/>
          <w:sz w:val="28"/>
          <w:szCs w:val="28"/>
          <w:highlight w:val="none"/>
          <w:lang w:val="en-US" w:eastAsia="zh-CN"/>
        </w:rPr>
        <w:t>环评时</w:t>
      </w:r>
      <w:r>
        <w:rPr>
          <w:rFonts w:hint="default" w:ascii="Times New Roman" w:hAnsi="Times New Roman" w:cs="Times New Roman"/>
          <w:color w:val="auto"/>
          <w:sz w:val="28"/>
          <w:szCs w:val="28"/>
          <w:highlight w:val="none"/>
          <w:lang w:val="en-US" w:eastAsia="zh-CN"/>
        </w:rPr>
        <w:t>总平布置图</w:t>
      </w:r>
      <w:bookmarkEnd w:id="114"/>
      <w:bookmarkEnd w:id="115"/>
      <w:bookmarkEnd w:id="116"/>
    </w:p>
    <w:p>
      <w:pPr>
        <w:pStyle w:val="2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highlight w:val="none"/>
          <w:lang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27"/>
        <w:ind w:left="0" w:leftChars="0" w:firstLine="0" w:firstLineChars="0"/>
        <w:rPr>
          <w:rFonts w:hint="default" w:ascii="Times New Roman" w:hAnsi="Times New Roman" w:cs="Times New Roman"/>
          <w:color w:val="auto"/>
          <w:highlight w:val="none"/>
        </w:rPr>
        <w:sectPr>
          <w:pgSz w:w="16838" w:h="11906" w:orient="landscape"/>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17" w:name="_Toc10922"/>
      <w:bookmarkStart w:id="118" w:name="_Toc29703"/>
      <w:bookmarkStart w:id="119" w:name="_Toc16470"/>
      <w:r>
        <w:rPr>
          <w:rFonts w:hint="default" w:ascii="Times New Roman" w:hAnsi="Times New Roman" w:cs="Times New Roman"/>
          <w:color w:val="auto"/>
          <w:sz w:val="28"/>
          <w:szCs w:val="28"/>
          <w:highlight w:val="none"/>
          <w:lang w:val="en-US" w:eastAsia="zh-CN"/>
        </w:rPr>
        <w:t>附图4：</w:t>
      </w:r>
      <w:r>
        <w:rPr>
          <w:rFonts w:hint="eastAsia" w:ascii="Times New Roman" w:hAnsi="Times New Roman" w:cs="Times New Roman"/>
          <w:color w:val="auto"/>
          <w:sz w:val="28"/>
          <w:szCs w:val="28"/>
          <w:highlight w:val="none"/>
          <w:lang w:val="en-US" w:eastAsia="zh-CN"/>
        </w:rPr>
        <w:t>验收</w:t>
      </w:r>
      <w:r>
        <w:rPr>
          <w:rFonts w:hint="default" w:ascii="Times New Roman" w:hAnsi="Times New Roman" w:cs="Times New Roman"/>
          <w:color w:val="auto"/>
          <w:sz w:val="28"/>
          <w:szCs w:val="28"/>
          <w:highlight w:val="none"/>
          <w:lang w:val="en-US" w:eastAsia="zh-CN"/>
        </w:rPr>
        <w:t>时总平布置图</w:t>
      </w:r>
      <w:bookmarkEnd w:id="117"/>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highlight w:val="none"/>
          <w:lang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13"/>
        <w:rPr>
          <w:rFonts w:hint="default"/>
          <w:highlight w:val="none"/>
          <w:lang w:eastAsia="zh-CN"/>
        </w:rPr>
        <w:sectPr>
          <w:pgSz w:w="16838" w:h="11906" w:orient="landscape"/>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20" w:name="_Toc9435"/>
      <w:r>
        <w:rPr>
          <w:rFonts w:hint="default" w:ascii="Times New Roman" w:hAnsi="Times New Roman" w:cs="Times New Roman"/>
          <w:color w:val="auto"/>
          <w:sz w:val="28"/>
          <w:szCs w:val="28"/>
          <w:highlight w:val="none"/>
          <w:lang w:val="en-US" w:eastAsia="zh-CN"/>
        </w:rPr>
        <w:t>附图</w:t>
      </w:r>
      <w:r>
        <w:rPr>
          <w:rFonts w:hint="eastAsia" w:ascii="Times New Roman" w:hAnsi="Times New Roman" w:cs="Times New Roman"/>
          <w:color w:val="auto"/>
          <w:sz w:val="28"/>
          <w:szCs w:val="28"/>
          <w:highlight w:val="none"/>
          <w:lang w:val="en-US" w:eastAsia="zh-CN"/>
        </w:rPr>
        <w:t>5</w:t>
      </w:r>
      <w:r>
        <w:rPr>
          <w:rFonts w:hint="default" w:ascii="Times New Roman" w:hAnsi="Times New Roman"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雨污管网图（</w:t>
      </w:r>
      <w:r>
        <w:rPr>
          <w:rFonts w:hint="eastAsia" w:cs="Times New Roman"/>
          <w:color w:val="auto"/>
          <w:sz w:val="28"/>
          <w:szCs w:val="28"/>
          <w:highlight w:val="none"/>
          <w:lang w:val="en-US" w:eastAsia="zh-CN"/>
        </w:rPr>
        <w:t>与</w:t>
      </w:r>
      <w:r>
        <w:rPr>
          <w:rFonts w:hint="eastAsia" w:ascii="Times New Roman" w:hAnsi="Times New Roman" w:cs="Times New Roman"/>
          <w:color w:val="auto"/>
          <w:sz w:val="28"/>
          <w:szCs w:val="28"/>
          <w:highlight w:val="none"/>
          <w:lang w:val="en-US" w:eastAsia="zh-CN"/>
        </w:rPr>
        <w:t>环评时</w:t>
      </w:r>
      <w:r>
        <w:rPr>
          <w:rFonts w:hint="eastAsia" w:cs="Times New Roman"/>
          <w:color w:val="auto"/>
          <w:sz w:val="28"/>
          <w:szCs w:val="28"/>
          <w:highlight w:val="none"/>
          <w:lang w:val="en-US" w:eastAsia="zh-CN"/>
        </w:rPr>
        <w:t>一致</w:t>
      </w:r>
      <w:r>
        <w:rPr>
          <w:rFonts w:hint="eastAsia" w:ascii="Times New Roman" w:hAnsi="Times New Roman" w:cs="Times New Roman"/>
          <w:color w:val="auto"/>
          <w:sz w:val="28"/>
          <w:szCs w:val="28"/>
          <w:highlight w:val="none"/>
          <w:lang w:val="en-US" w:eastAsia="zh-CN"/>
        </w:rPr>
        <w:t>）</w:t>
      </w:r>
      <w:bookmarkEnd w:id="120"/>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highlight w:val="none"/>
          <w:lang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13"/>
        <w:jc w:val="center"/>
        <w:rPr>
          <w:rFonts w:hint="default"/>
          <w:highlight w:val="none"/>
          <w:lang w:eastAsia="zh-CN"/>
        </w:rPr>
        <w:sectPr>
          <w:pgSz w:w="16838" w:h="11906" w:orient="landscape"/>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21" w:name="_Toc19321"/>
      <w:r>
        <w:rPr>
          <w:rFonts w:hint="default" w:ascii="Times New Roman" w:hAnsi="Times New Roman" w:cs="Times New Roman"/>
          <w:color w:val="auto"/>
          <w:sz w:val="28"/>
          <w:szCs w:val="28"/>
          <w:highlight w:val="none"/>
          <w:lang w:val="en-US" w:eastAsia="zh-CN"/>
        </w:rPr>
        <w:t>附图</w:t>
      </w:r>
      <w:r>
        <w:rPr>
          <w:rFonts w:hint="eastAsia" w:cs="Times New Roman"/>
          <w:color w:val="auto"/>
          <w:sz w:val="28"/>
          <w:szCs w:val="28"/>
          <w:highlight w:val="none"/>
          <w:lang w:val="en-US" w:eastAsia="zh-CN"/>
        </w:rPr>
        <w:t>6</w:t>
      </w:r>
      <w:r>
        <w:rPr>
          <w:rFonts w:hint="default" w:ascii="Times New Roman" w:hAnsi="Times New Roman" w:cs="Times New Roman"/>
          <w:color w:val="auto"/>
          <w:sz w:val="28"/>
          <w:szCs w:val="28"/>
          <w:highlight w:val="none"/>
          <w:lang w:val="en-US" w:eastAsia="zh-CN"/>
        </w:rPr>
        <w:t>：监测布点图</w:t>
      </w:r>
      <w:bookmarkEnd w:id="118"/>
      <w:bookmarkEnd w:id="119"/>
      <w:bookmarkEnd w:id="121"/>
    </w:p>
    <w:p>
      <w:pPr>
        <w:pStyle w:val="27"/>
        <w:ind w:left="0" w:leftChars="0" w:firstLine="0" w:firstLineChars="0"/>
        <w:jc w:val="center"/>
        <w:rPr>
          <w:rFonts w:hint="default" w:ascii="Times New Roman" w:hAnsi="Times New Roman" w:eastAsia="宋体" w:cs="Times New Roman"/>
          <w:highlight w:val="none"/>
          <w:lang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rPr>
          <w:rFonts w:hint="default"/>
          <w:highlight w:val="none"/>
          <w:lang w:eastAsia="zh-CN"/>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22" w:name="_Toc14877"/>
      <w:bookmarkStart w:id="123" w:name="_Toc16247"/>
      <w:bookmarkStart w:id="124" w:name="_Toc7166"/>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lang w:val="en-US" w:eastAsia="zh-CN"/>
        </w:rPr>
        <w:t>：委托书</w:t>
      </w:r>
      <w:bookmarkEnd w:id="122"/>
      <w:bookmarkEnd w:id="123"/>
      <w:bookmarkEnd w:id="124"/>
    </w:p>
    <w:p>
      <w:pPr>
        <w:pStyle w:val="27"/>
        <w:ind w:left="0" w:leftChars="0" w:firstLine="0" w:firstLineChars="0"/>
        <w:jc w:val="center"/>
        <w:rPr>
          <w:rFonts w:hint="default" w:ascii="Times New Roman" w:hAnsi="Times New Roman" w:eastAsia="宋体" w:cs="Times New Roman"/>
          <w:highlight w:val="none"/>
          <w:lang w:val="en-US"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27"/>
        <w:rPr>
          <w:rFonts w:hint="default" w:ascii="Times New Roman" w:hAnsi="Times New Roman" w:eastAsia="宋体" w:cs="Times New Roman"/>
          <w:highlight w:val="none"/>
          <w:lang w:val="en-US" w:eastAsia="zh-CN"/>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25" w:name="_Toc11733"/>
      <w:bookmarkStart w:id="126" w:name="_Toc4481"/>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2</w:t>
      </w:r>
      <w:r>
        <w:rPr>
          <w:rFonts w:hint="default" w:ascii="Times New Roman" w:hAnsi="Times New Roman" w:cs="Times New Roman"/>
          <w:color w:val="auto"/>
          <w:sz w:val="28"/>
          <w:szCs w:val="28"/>
          <w:highlight w:val="none"/>
          <w:lang w:val="en-US" w:eastAsia="zh-CN"/>
        </w:rPr>
        <w:t>：环评批复</w:t>
      </w:r>
      <w:bookmarkEnd w:id="125"/>
      <w:bookmarkEnd w:id="126"/>
    </w:p>
    <w:p>
      <w:pPr>
        <w:jc w:val="center"/>
        <w:rPr>
          <w:rFonts w:hint="default" w:ascii="Times New Roman" w:hAnsi="Times New Roman" w:cs="Times New Roman"/>
          <w:highlight w:val="none"/>
          <w:lang w:val="en-US" w:eastAsia="zh-CN"/>
        </w:rPr>
      </w:pPr>
    </w:p>
    <w:p>
      <w:pPr>
        <w:pStyle w:val="2"/>
        <w:jc w:val="center"/>
        <w:rPr>
          <w:rFonts w:hint="default"/>
          <w:lang w:val="en-US" w:eastAsia="zh-CN"/>
        </w:rPr>
        <w:sectPr>
          <w:pgSz w:w="11906" w:h="16838"/>
          <w:pgMar w:top="1417" w:right="1417" w:bottom="1417" w:left="1417" w:header="851" w:footer="992" w:gutter="0"/>
          <w:pgNumType w:fmt="decimal"/>
          <w:cols w:space="720" w:num="1"/>
          <w:rtlGutter w:val="0"/>
          <w:docGrid w:type="lines" w:linePitch="318" w:charSpace="0"/>
        </w:sect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27" w:name="_Toc7986"/>
      <w:r>
        <w:rPr>
          <w:rFonts w:hint="default" w:ascii="Times New Roman" w:hAnsi="Times New Roman" w:cs="Times New Roman"/>
          <w:color w:val="auto"/>
          <w:sz w:val="28"/>
          <w:szCs w:val="28"/>
          <w:highlight w:val="none"/>
          <w:lang w:val="en-US" w:eastAsia="zh-CN"/>
        </w:rPr>
        <w:t>附件</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val="en-US" w:eastAsia="zh-CN"/>
        </w:rPr>
        <w:t>：</w:t>
      </w:r>
      <w:r>
        <w:rPr>
          <w:rFonts w:hint="eastAsia" w:cs="Times New Roman"/>
          <w:color w:val="auto"/>
          <w:sz w:val="28"/>
          <w:szCs w:val="28"/>
          <w:highlight w:val="none"/>
          <w:lang w:val="en-US" w:eastAsia="zh-CN"/>
        </w:rPr>
        <w:t>补充说明评审意见</w:t>
      </w:r>
      <w:bookmarkEnd w:id="127"/>
    </w:p>
    <w:p>
      <w:pPr>
        <w:pStyle w:val="3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cs="Times New Roman"/>
          <w:b/>
          <w:bCs/>
          <w:color w:val="auto"/>
          <w:sz w:val="28"/>
          <w:szCs w:val="28"/>
          <w:highlight w:val="none"/>
          <w:lang w:val="en-US"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25"/>
        <w:jc w:val="center"/>
        <w:rPr>
          <w:rFonts w:hint="default"/>
          <w:lang w:val="en-US" w:eastAsia="zh-CN"/>
        </w:rPr>
      </w:pPr>
    </w:p>
    <w:p>
      <w:pPr>
        <w:pStyle w:val="13"/>
        <w:rPr>
          <w:rFonts w:hint="default"/>
          <w:highlight w:val="none"/>
          <w:lang w:val="en-US" w:eastAsia="zh-CN"/>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28" w:name="_Toc291"/>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val="en-US" w:eastAsia="zh-CN"/>
        </w:rPr>
        <w:t>：营业执照</w:t>
      </w:r>
      <w:r>
        <w:rPr>
          <w:rFonts w:hint="eastAsia" w:cs="Times New Roman"/>
          <w:color w:val="auto"/>
          <w:sz w:val="28"/>
          <w:szCs w:val="28"/>
          <w:highlight w:val="none"/>
          <w:lang w:val="en-US" w:eastAsia="zh-CN"/>
        </w:rPr>
        <w:t>及法人身份证</w:t>
      </w:r>
      <w:bookmarkEnd w:id="128"/>
    </w:p>
    <w:p>
      <w:pPr>
        <w:jc w:val="center"/>
        <w:rPr>
          <w:rFonts w:hint="eastAsia" w:ascii="Times New Roman" w:hAnsi="Times New Roman" w:eastAsia="宋体" w:cs="Times New Roman"/>
          <w:highlight w:val="none"/>
          <w:lang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2"/>
        <w:rPr>
          <w:rFonts w:hint="default"/>
        </w:rPr>
        <w:sectPr>
          <w:pgSz w:w="16840" w:h="11907" w:orient="landscape"/>
          <w:pgMar w:top="1417" w:right="1417" w:bottom="1417" w:left="1417" w:header="1134" w:footer="1134" w:gutter="0"/>
          <w:pgBorders>
            <w:top w:val="none" w:sz="0" w:space="0"/>
            <w:left w:val="none" w:sz="0" w:space="0"/>
            <w:bottom w:val="none" w:sz="0" w:space="0"/>
            <w:right w:val="none" w:sz="0" w:space="0"/>
          </w:pgBorders>
          <w:pgNumType w:fmt="decimal"/>
          <w:cols w:space="720" w:num="1"/>
          <w:docGrid w:type="linesAndChars" w:linePitch="440" w:charSpace="4454"/>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29" w:name="_Toc26493"/>
      <w:bookmarkStart w:id="130" w:name="_Toc24498"/>
      <w:bookmarkStart w:id="131" w:name="_Toc31030"/>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lang w:val="en-US" w:eastAsia="zh-CN"/>
        </w:rPr>
        <w:t>：工况说明</w:t>
      </w:r>
      <w:bookmarkEnd w:id="129"/>
      <w:bookmarkEnd w:id="130"/>
      <w:bookmarkEnd w:id="131"/>
    </w:p>
    <w:p>
      <w:pPr>
        <w:pStyle w:val="27"/>
        <w:ind w:left="0" w:leftChars="0" w:firstLine="0" w:firstLineChars="0"/>
        <w:jc w:val="center"/>
        <w:rPr>
          <w:rFonts w:hint="default" w:ascii="Times New Roman" w:hAnsi="Times New Roman" w:cs="Times New Roman"/>
          <w:highlight w:val="none"/>
          <w:lang w:val="en-US"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jc w:val="center"/>
        <w:rPr>
          <w:rFonts w:hint="default"/>
          <w:highlight w:val="none"/>
          <w:lang w:val="en-US" w:eastAsia="zh-CN"/>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32" w:name="_Toc21115"/>
      <w:bookmarkStart w:id="133" w:name="_Toc21664"/>
      <w:bookmarkStart w:id="134" w:name="_Toc14968"/>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5</w:t>
      </w:r>
      <w:r>
        <w:rPr>
          <w:rFonts w:hint="default" w:ascii="Times New Roman" w:hAnsi="Times New Roman" w:cs="Times New Roman"/>
          <w:color w:val="auto"/>
          <w:sz w:val="28"/>
          <w:szCs w:val="28"/>
          <w:highlight w:val="none"/>
          <w:lang w:val="en-US" w:eastAsia="zh-CN"/>
        </w:rPr>
        <w:t>：</w:t>
      </w:r>
      <w:bookmarkEnd w:id="132"/>
      <w:bookmarkEnd w:id="133"/>
      <w:r>
        <w:rPr>
          <w:rFonts w:hint="default" w:ascii="Times New Roman" w:hAnsi="Times New Roman" w:cs="Times New Roman"/>
          <w:color w:val="auto"/>
          <w:sz w:val="28"/>
          <w:szCs w:val="28"/>
          <w:highlight w:val="none"/>
          <w:lang w:val="en-US" w:eastAsia="zh-CN"/>
        </w:rPr>
        <w:t>排污许可证</w:t>
      </w:r>
      <w:bookmarkEnd w:id="134"/>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highlight w:val="none"/>
          <w:lang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2"/>
        <w:jc w:val="center"/>
        <w:rPr>
          <w:rFonts w:hint="eastAsia"/>
          <w:highlight w:val="none"/>
          <w:lang w:val="en-US" w:eastAsia="zh-CN"/>
        </w:rPr>
        <w:sectPr>
          <w:pgSz w:w="16838" w:h="11906" w:orient="landscape"/>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35" w:name="_Toc12466"/>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6</w:t>
      </w:r>
      <w:r>
        <w:rPr>
          <w:rFonts w:hint="default" w:ascii="Times New Roman" w:hAnsi="Times New Roman" w:cs="Times New Roman"/>
          <w:color w:val="auto"/>
          <w:sz w:val="28"/>
          <w:szCs w:val="28"/>
          <w:highlight w:val="none"/>
          <w:lang w:val="en-US" w:eastAsia="zh-CN"/>
        </w:rPr>
        <w:t>：危废</w:t>
      </w:r>
      <w:r>
        <w:rPr>
          <w:rFonts w:hint="eastAsia" w:ascii="Times New Roman" w:hAnsi="Times New Roman" w:cs="Times New Roman"/>
          <w:color w:val="auto"/>
          <w:sz w:val="28"/>
          <w:szCs w:val="28"/>
          <w:highlight w:val="none"/>
          <w:lang w:val="en-US" w:eastAsia="zh-CN"/>
        </w:rPr>
        <w:t>处置</w:t>
      </w:r>
      <w:r>
        <w:rPr>
          <w:rFonts w:hint="eastAsia" w:cs="Times New Roman"/>
          <w:color w:val="auto"/>
          <w:sz w:val="28"/>
          <w:szCs w:val="28"/>
          <w:highlight w:val="none"/>
          <w:lang w:val="en-US" w:eastAsia="zh-CN"/>
        </w:rPr>
        <w:t>协议</w:t>
      </w:r>
      <w:bookmarkEnd w:id="135"/>
    </w:p>
    <w:p>
      <w:pPr>
        <w:jc w:val="center"/>
        <w:rPr>
          <w:rFonts w:hint="default" w:ascii="Times New Roman" w:hAnsi="Times New Roman" w:eastAsia="宋体" w:cs="Times New Roman"/>
          <w:color w:val="auto"/>
          <w:highlight w:val="none"/>
          <w:lang w:eastAsia="zh-CN"/>
        </w:rPr>
      </w:pPr>
    </w:p>
    <w:p>
      <w:pPr>
        <w:pStyle w:val="2"/>
        <w:jc w:val="center"/>
        <w:rPr>
          <w:rFonts w:hint="default"/>
          <w:lang w:eastAsia="zh-CN"/>
        </w:rPr>
        <w:sectPr>
          <w:pgSz w:w="11906" w:h="16838"/>
          <w:pgMar w:top="1417" w:right="1417" w:bottom="1417" w:left="1417" w:header="1020" w:footer="1020" w:gutter="0"/>
          <w:pgBorders>
            <w:top w:val="none" w:sz="0" w:space="0"/>
            <w:left w:val="none" w:sz="0" w:space="0"/>
            <w:bottom w:val="none" w:sz="0" w:space="0"/>
            <w:right w:val="none" w:sz="0" w:space="0"/>
          </w:pgBorders>
          <w:cols w:space="720" w:num="1"/>
          <w:rtlGutter w:val="0"/>
          <w:docGrid w:type="lines" w:linePitch="313" w:charSpace="0"/>
        </w:sect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36" w:name="_Toc15541"/>
      <w:r>
        <w:rPr>
          <w:rFonts w:hint="default" w:ascii="Times New Roman" w:hAnsi="Times New Roman" w:cs="Times New Roman"/>
          <w:color w:val="auto"/>
          <w:sz w:val="28"/>
          <w:szCs w:val="28"/>
          <w:highlight w:val="none"/>
          <w:lang w:val="en-US" w:eastAsia="zh-CN"/>
        </w:rPr>
        <w:t>附件</w:t>
      </w:r>
      <w:r>
        <w:rPr>
          <w:rFonts w:hint="eastAsia"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val="en-US" w:eastAsia="zh-CN"/>
        </w:rPr>
        <w:t>：</w:t>
      </w:r>
      <w:r>
        <w:rPr>
          <w:rFonts w:hint="eastAsia" w:cs="Times New Roman"/>
          <w:color w:val="auto"/>
          <w:sz w:val="28"/>
          <w:szCs w:val="28"/>
          <w:highlight w:val="none"/>
          <w:lang w:val="en-US" w:eastAsia="zh-CN"/>
        </w:rPr>
        <w:t>危废转移联单</w:t>
      </w:r>
      <w:bookmarkEnd w:id="136"/>
    </w:p>
    <w:p>
      <w:pPr>
        <w:jc w:val="center"/>
        <w:rPr>
          <w:rFonts w:hint="default"/>
          <w:lang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2"/>
        <w:rPr>
          <w:rFonts w:hint="default"/>
          <w:lang w:eastAsia="zh-CN"/>
        </w:rPr>
        <w:sectPr>
          <w:pgSz w:w="11906" w:h="16838"/>
          <w:pgMar w:top="1417" w:right="1417" w:bottom="1417" w:left="1417" w:header="1020" w:footer="1020" w:gutter="0"/>
          <w:pgBorders>
            <w:top w:val="none" w:sz="0" w:space="0"/>
            <w:left w:val="none" w:sz="0" w:space="0"/>
            <w:bottom w:val="none" w:sz="0" w:space="0"/>
            <w:right w:val="none" w:sz="0" w:space="0"/>
          </w:pgBorders>
          <w:cols w:space="720" w:num="1"/>
          <w:rtlGutter w:val="0"/>
          <w:docGrid w:type="lines" w:linePitch="313"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37" w:name="_Toc13958"/>
      <w:r>
        <w:rPr>
          <w:rFonts w:hint="default" w:ascii="Times New Roman" w:hAnsi="Times New Roman" w:cs="Times New Roman"/>
          <w:color w:val="auto"/>
          <w:sz w:val="28"/>
          <w:szCs w:val="28"/>
          <w:highlight w:val="none"/>
          <w:lang w:val="en-US" w:eastAsia="zh-CN"/>
        </w:rPr>
        <w:t>附件</w:t>
      </w:r>
      <w:r>
        <w:rPr>
          <w:rFonts w:hint="eastAsia" w:cs="Times New Roman"/>
          <w:color w:val="auto"/>
          <w:sz w:val="28"/>
          <w:szCs w:val="28"/>
          <w:highlight w:val="none"/>
          <w:lang w:val="en-US" w:eastAsia="zh-CN"/>
        </w:rPr>
        <w:t>8</w:t>
      </w:r>
      <w:r>
        <w:rPr>
          <w:rFonts w:hint="default" w:ascii="Times New Roman" w:hAnsi="Times New Roman" w:cs="Times New Roman"/>
          <w:color w:val="auto"/>
          <w:sz w:val="28"/>
          <w:szCs w:val="28"/>
          <w:highlight w:val="none"/>
          <w:lang w:val="en-US" w:eastAsia="zh-CN"/>
        </w:rPr>
        <w:t>：</w:t>
      </w:r>
      <w:r>
        <w:rPr>
          <w:rFonts w:hint="eastAsia" w:cs="Times New Roman"/>
          <w:color w:val="auto"/>
          <w:sz w:val="28"/>
          <w:szCs w:val="28"/>
          <w:highlight w:val="none"/>
          <w:lang w:val="en-US" w:eastAsia="zh-CN"/>
        </w:rPr>
        <w:t>固废管理系统截图</w:t>
      </w:r>
      <w:bookmarkEnd w:id="137"/>
    </w:p>
    <w:p>
      <w:pPr>
        <w:jc w:val="center"/>
        <w:rPr>
          <w:rFonts w:hint="default"/>
          <w:lang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2"/>
        <w:rPr>
          <w:rFonts w:hint="default"/>
          <w:lang w:eastAsia="zh-CN"/>
        </w:rPr>
      </w:pPr>
    </w:p>
    <w:p>
      <w:pPr>
        <w:pStyle w:val="4"/>
        <w:rPr>
          <w:rFonts w:hint="default"/>
          <w:lang w:eastAsia="zh-CN"/>
        </w:rPr>
        <w:sectPr>
          <w:pgSz w:w="16838" w:h="11906" w:orient="landscape"/>
          <w:pgMar w:top="1417" w:right="1417" w:bottom="1417" w:left="1417" w:header="1020" w:footer="1020" w:gutter="0"/>
          <w:pgBorders>
            <w:top w:val="none" w:sz="0" w:space="0"/>
            <w:left w:val="none" w:sz="0" w:space="0"/>
            <w:bottom w:val="none" w:sz="0" w:space="0"/>
            <w:right w:val="none" w:sz="0" w:space="0"/>
          </w:pgBorders>
          <w:cols w:space="720" w:num="1"/>
          <w:rtlGutter w:val="0"/>
          <w:docGrid w:type="lines" w:linePitch="313"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eastAsia" w:ascii="Times New Roman" w:hAnsi="Times New Roman" w:cs="Times New Roman"/>
          <w:color w:val="auto"/>
          <w:sz w:val="28"/>
          <w:szCs w:val="28"/>
          <w:highlight w:val="none"/>
          <w:lang w:val="en-US" w:eastAsia="zh-CN"/>
        </w:rPr>
      </w:pPr>
      <w:bookmarkStart w:id="138" w:name="_Toc29107"/>
      <w:r>
        <w:rPr>
          <w:rFonts w:hint="default" w:ascii="Times New Roman" w:hAnsi="Times New Roman" w:cs="Times New Roman"/>
          <w:color w:val="auto"/>
          <w:sz w:val="28"/>
          <w:szCs w:val="28"/>
          <w:highlight w:val="none"/>
          <w:lang w:val="en-US" w:eastAsia="zh-CN"/>
        </w:rPr>
        <w:t>附件</w:t>
      </w:r>
      <w:r>
        <w:rPr>
          <w:rFonts w:hint="eastAsia" w:cs="Times New Roman"/>
          <w:color w:val="auto"/>
          <w:sz w:val="28"/>
          <w:szCs w:val="28"/>
          <w:highlight w:val="none"/>
          <w:lang w:val="en-US" w:eastAsia="zh-CN"/>
        </w:rPr>
        <w:t>9</w:t>
      </w:r>
      <w:r>
        <w:rPr>
          <w:rFonts w:hint="default" w:ascii="Times New Roman" w:hAnsi="Times New Roman"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竣工日期网络公示截图</w:t>
      </w:r>
      <w:bookmarkEnd w:id="138"/>
    </w:p>
    <w:p>
      <w:pPr>
        <w:jc w:val="center"/>
        <w:rPr>
          <w:rFonts w:hint="eastAsia" w:ascii="Times New Roman" w:hAnsi="Times New Roman" w:cs="Times New Roman"/>
          <w:color w:val="1100F6"/>
          <w:sz w:val="28"/>
          <w:szCs w:val="28"/>
          <w:highlight w:val="none"/>
          <w:lang w:val="en-US" w:eastAsia="zh-CN"/>
        </w:rPr>
      </w:pPr>
      <w:r>
        <w:rPr>
          <w:rFonts w:hint="eastAsia" w:ascii="Times New Roman" w:hAnsi="Times New Roman" w:cs="Times New Roman"/>
          <w:color w:val="1100F6"/>
          <w:sz w:val="28"/>
          <w:szCs w:val="28"/>
          <w:highlight w:val="none"/>
          <w:lang w:val="en-US" w:eastAsia="zh-CN"/>
        </w:rPr>
        <w:drawing>
          <wp:inline distT="0" distB="0" distL="114300" distR="114300">
            <wp:extent cx="7368540" cy="4977765"/>
            <wp:effectExtent l="0" t="0" r="3810" b="13335"/>
            <wp:docPr id="46" name="图片 46" descr="竣工日期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竣工日期公示"/>
                    <pic:cNvPicPr>
                      <a:picLocks noChangeAspect="1"/>
                    </pic:cNvPicPr>
                  </pic:nvPicPr>
                  <pic:blipFill>
                    <a:blip r:embed="rId7"/>
                    <a:stretch>
                      <a:fillRect/>
                    </a:stretch>
                  </pic:blipFill>
                  <pic:spPr>
                    <a:xfrm>
                      <a:off x="0" y="0"/>
                      <a:ext cx="7368540" cy="4977765"/>
                    </a:xfrm>
                    <a:prstGeom prst="rect">
                      <a:avLst/>
                    </a:prstGeom>
                  </pic:spPr>
                </pic:pic>
              </a:graphicData>
            </a:graphic>
          </wp:inline>
        </w:drawing>
      </w:r>
    </w:p>
    <w:p>
      <w:pPr>
        <w:bidi w:val="0"/>
        <w:rPr>
          <w:rFonts w:hint="default"/>
          <w:highlight w:val="none"/>
          <w:lang w:val="en-US" w:eastAsia="zh-CN"/>
        </w:rPr>
      </w:pPr>
      <w:r>
        <w:rPr>
          <w:rFonts w:hint="eastAsia"/>
          <w:highlight w:val="none"/>
          <w:lang w:val="en-US" w:eastAsia="zh-CN"/>
        </w:rPr>
        <w:t>公示网址：http://www.tsingtuo.com/notice/725</w:t>
      </w:r>
    </w:p>
    <w:p>
      <w:pPr>
        <w:pStyle w:val="6"/>
        <w:rPr>
          <w:rFonts w:hint="eastAsia"/>
          <w:highlight w:val="none"/>
          <w:lang w:val="en-US" w:eastAsia="zh-CN"/>
        </w:rPr>
        <w:sectPr>
          <w:pgSz w:w="16838" w:h="11906" w:orient="landscape"/>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eastAsia" w:ascii="Times New Roman" w:hAnsi="Times New Roman" w:cs="Times New Roman"/>
          <w:color w:val="auto"/>
          <w:sz w:val="28"/>
          <w:szCs w:val="28"/>
          <w:highlight w:val="none"/>
          <w:lang w:val="en-US" w:eastAsia="zh-CN"/>
        </w:rPr>
      </w:pPr>
      <w:bookmarkStart w:id="139" w:name="_Toc32702"/>
      <w:r>
        <w:rPr>
          <w:rFonts w:hint="default" w:ascii="Times New Roman" w:hAnsi="Times New Roman" w:cs="Times New Roman"/>
          <w:color w:val="auto"/>
          <w:sz w:val="28"/>
          <w:szCs w:val="28"/>
          <w:highlight w:val="none"/>
          <w:lang w:val="en-US" w:eastAsia="zh-CN"/>
        </w:rPr>
        <w:t>附件</w:t>
      </w:r>
      <w:r>
        <w:rPr>
          <w:rFonts w:hint="eastAsia"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调试日期网络公示截图</w:t>
      </w:r>
      <w:bookmarkEnd w:id="139"/>
    </w:p>
    <w:p>
      <w:pPr>
        <w:jc w:val="center"/>
        <w:rPr>
          <w:rFonts w:hint="eastAsia" w:ascii="Times New Roman" w:hAnsi="Times New Roman" w:cs="Times New Roman"/>
          <w:color w:val="1100F6"/>
          <w:sz w:val="28"/>
          <w:szCs w:val="28"/>
          <w:highlight w:val="none"/>
          <w:lang w:val="en-US" w:eastAsia="zh-CN"/>
        </w:rPr>
      </w:pPr>
      <w:r>
        <w:rPr>
          <w:rFonts w:hint="eastAsia" w:ascii="Times New Roman" w:hAnsi="Times New Roman" w:cs="Times New Roman"/>
          <w:color w:val="1100F6"/>
          <w:sz w:val="28"/>
          <w:szCs w:val="28"/>
          <w:highlight w:val="none"/>
          <w:lang w:val="en-US" w:eastAsia="zh-CN"/>
        </w:rPr>
        <w:drawing>
          <wp:inline distT="0" distB="0" distL="114300" distR="114300">
            <wp:extent cx="7398385" cy="4997450"/>
            <wp:effectExtent l="0" t="0" r="12065" b="12700"/>
            <wp:docPr id="47" name="图片 47" descr="调试日期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调试日期公示"/>
                    <pic:cNvPicPr>
                      <a:picLocks noChangeAspect="1"/>
                    </pic:cNvPicPr>
                  </pic:nvPicPr>
                  <pic:blipFill>
                    <a:blip r:embed="rId8"/>
                    <a:stretch>
                      <a:fillRect/>
                    </a:stretch>
                  </pic:blipFill>
                  <pic:spPr>
                    <a:xfrm>
                      <a:off x="0" y="0"/>
                      <a:ext cx="7398385" cy="4997450"/>
                    </a:xfrm>
                    <a:prstGeom prst="rect">
                      <a:avLst/>
                    </a:prstGeom>
                  </pic:spPr>
                </pic:pic>
              </a:graphicData>
            </a:graphic>
          </wp:inline>
        </w:drawing>
      </w:r>
    </w:p>
    <w:p>
      <w:pPr>
        <w:bidi w:val="0"/>
        <w:rPr>
          <w:rFonts w:hint="eastAsia"/>
          <w:highlight w:val="none"/>
          <w:lang w:val="en-US" w:eastAsia="zh-CN"/>
        </w:rPr>
      </w:pPr>
      <w:r>
        <w:rPr>
          <w:rFonts w:hint="eastAsia"/>
          <w:highlight w:val="none"/>
          <w:lang w:val="en-US" w:eastAsia="zh-CN"/>
        </w:rPr>
        <w:t>公示网址：http://www.tsingtuo.com/notice/726</w:t>
      </w:r>
    </w:p>
    <w:p>
      <w:pPr>
        <w:pStyle w:val="6"/>
        <w:rPr>
          <w:rFonts w:hint="eastAsia"/>
          <w:highlight w:val="none"/>
          <w:lang w:val="en-US" w:eastAsia="zh-CN"/>
        </w:rPr>
        <w:sectPr>
          <w:pgSz w:w="16838" w:h="11906" w:orient="landscape"/>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40" w:name="_Toc10904"/>
      <w:r>
        <w:rPr>
          <w:rFonts w:hint="default" w:ascii="Times New Roman" w:hAnsi="Times New Roman" w:cs="Times New Roman"/>
          <w:color w:val="auto"/>
          <w:sz w:val="28"/>
          <w:szCs w:val="28"/>
          <w:highlight w:val="none"/>
          <w:lang w:val="en-US" w:eastAsia="zh-CN"/>
        </w:rPr>
        <w:t>附件</w:t>
      </w:r>
      <w:r>
        <w:rPr>
          <w:rFonts w:hint="eastAsia" w:cs="Times New Roman"/>
          <w:color w:val="auto"/>
          <w:sz w:val="28"/>
          <w:szCs w:val="28"/>
          <w:highlight w:val="none"/>
          <w:lang w:val="en-US" w:eastAsia="zh-CN"/>
        </w:rPr>
        <w:t>11</w:t>
      </w:r>
      <w:r>
        <w:rPr>
          <w:rFonts w:hint="default" w:ascii="Times New Roman" w:hAnsi="Times New Roman" w:cs="Times New Roman"/>
          <w:color w:val="auto"/>
          <w:sz w:val="28"/>
          <w:szCs w:val="28"/>
          <w:highlight w:val="none"/>
          <w:lang w:val="en-US" w:eastAsia="zh-CN"/>
        </w:rPr>
        <w:t>：检测报告</w:t>
      </w:r>
      <w:bookmarkEnd w:id="140"/>
    </w:p>
    <w:p>
      <w:pPr>
        <w:bidi w:val="0"/>
        <w:jc w:val="center"/>
        <w:rPr>
          <w:rFonts w:hint="default"/>
          <w:lang w:val="en-US" w:eastAsia="zh-CN"/>
        </w:rPr>
      </w:pPr>
      <w:bookmarkStart w:id="141" w:name="_Toc15698"/>
    </w:p>
    <w:p>
      <w:pPr>
        <w:bidi w:val="0"/>
        <w:jc w:val="center"/>
        <w:rPr>
          <w:rFonts w:hint="default"/>
          <w:lang w:val="en-US" w:eastAsia="zh-CN"/>
        </w:rPr>
        <w:sectPr>
          <w:pgSz w:w="11906" w:h="16838"/>
          <w:pgMar w:top="1417" w:right="1417" w:bottom="1417" w:left="1417" w:header="851" w:footer="992" w:gutter="0"/>
          <w:pgNumType w:fmt="decimal"/>
          <w:cols w:space="720" w:num="1"/>
          <w:rtlGutter w:val="0"/>
          <w:docGrid w:type="lines" w:linePitch="318" w:charSpace="0"/>
        </w:sect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42" w:name="_Toc12294"/>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1</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自查</w:t>
      </w:r>
      <w:r>
        <w:rPr>
          <w:rFonts w:hint="default" w:ascii="Times New Roman" w:hAnsi="Times New Roman" w:cs="Times New Roman"/>
          <w:color w:val="auto"/>
          <w:sz w:val="28"/>
          <w:szCs w:val="28"/>
          <w:highlight w:val="none"/>
          <w:lang w:val="en-US" w:eastAsia="zh-CN"/>
        </w:rPr>
        <w:t>报告</w:t>
      </w:r>
      <w:bookmarkEnd w:id="141"/>
      <w:bookmarkEnd w:id="142"/>
    </w:p>
    <w:p>
      <w:pPr>
        <w:jc w:val="center"/>
        <w:rPr>
          <w:rFonts w:hint="default" w:ascii="Times New Roman" w:hAnsi="Times New Roman" w:cs="Times New Roman"/>
          <w:color w:val="1100F6"/>
          <w:sz w:val="28"/>
          <w:szCs w:val="28"/>
          <w:highlight w:val="none"/>
          <w:lang w:val="en-US"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13"/>
        <w:rPr>
          <w:rFonts w:hint="default"/>
          <w:lang w:val="en-US" w:eastAsia="zh-CN"/>
        </w:rPr>
        <w:sectPr>
          <w:pgSz w:w="11906" w:h="16838"/>
          <w:pgMar w:top="1417" w:right="1417" w:bottom="1417" w:left="1417" w:header="851" w:footer="992" w:gutter="0"/>
          <w:pgNumType w:fmt="decimal"/>
          <w:cols w:space="720" w:num="1"/>
          <w:rtlGutter w:val="0"/>
          <w:docGrid w:type="lines" w:linePitch="318" w:charSpace="0"/>
        </w:sectPr>
      </w:pP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eastAsia" w:ascii="Times New Roman" w:hAnsi="Times New Roman" w:cs="Times New Roman"/>
          <w:color w:val="auto"/>
          <w:sz w:val="28"/>
          <w:szCs w:val="28"/>
          <w:highlight w:val="none"/>
          <w:lang w:val="en-US" w:eastAsia="zh-CN"/>
        </w:rPr>
      </w:pPr>
      <w:bookmarkStart w:id="143" w:name="_Toc7938"/>
      <w:bookmarkStart w:id="144" w:name="_Toc16123"/>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1</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验收意见</w:t>
      </w:r>
      <w:bookmarkEnd w:id="143"/>
      <w:bookmarkEnd w:id="144"/>
    </w:p>
    <w:p>
      <w:pPr>
        <w:jc w:val="center"/>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drawing>
          <wp:inline distT="0" distB="0" distL="114300" distR="114300">
            <wp:extent cx="5758815" cy="8138160"/>
            <wp:effectExtent l="0" t="0" r="13335" b="15240"/>
            <wp:docPr id="67" name="图片 67" descr="竣工环保保护验收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竣工环保保护验收意见_00"/>
                    <pic:cNvPicPr>
                      <a:picLocks noChangeAspect="1"/>
                    </pic:cNvPicPr>
                  </pic:nvPicPr>
                  <pic:blipFill>
                    <a:blip r:embed="rId9"/>
                    <a:stretch>
                      <a:fillRect/>
                    </a:stretch>
                  </pic:blipFill>
                  <pic:spPr>
                    <a:xfrm>
                      <a:off x="0" y="0"/>
                      <a:ext cx="5758815" cy="8138160"/>
                    </a:xfrm>
                    <a:prstGeom prst="rect">
                      <a:avLst/>
                    </a:prstGeom>
                  </pic:spPr>
                </pic:pic>
              </a:graphicData>
            </a:graphic>
          </wp:inline>
        </w:drawing>
      </w:r>
    </w:p>
    <w:p>
      <w:pPr>
        <w:pStyle w:val="13"/>
        <w:rPr>
          <w:rFonts w:hint="eastAsia"/>
          <w:color w:val="auto"/>
          <w:highlight w:val="none"/>
          <w:lang w:val="en-US" w:eastAsia="zh-CN"/>
        </w:rPr>
        <w:sectPr>
          <w:pgSz w:w="11906" w:h="16838"/>
          <w:pgMar w:top="1417" w:right="1417" w:bottom="1417" w:left="1417" w:header="851" w:footer="992" w:gutter="0"/>
          <w:pgNumType w:fmt="decimal"/>
          <w:cols w:space="720" w:num="1"/>
          <w:rtlGutter w:val="0"/>
          <w:docGrid w:type="lines" w:linePitch="318" w:charSpace="0"/>
        </w:sectPr>
      </w:pPr>
      <w:r>
        <w:rPr>
          <w:rFonts w:hint="eastAsia"/>
          <w:color w:val="auto"/>
          <w:highlight w:val="none"/>
          <w:lang w:val="en-US" w:eastAsia="zh-CN"/>
        </w:rPr>
        <w:drawing>
          <wp:inline distT="0" distB="0" distL="114300" distR="114300">
            <wp:extent cx="5758815" cy="8138160"/>
            <wp:effectExtent l="0" t="0" r="13335" b="15240"/>
            <wp:docPr id="68" name="图片 68" descr="竣工环保保护验收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竣工环保保护验收意见_01"/>
                    <pic:cNvPicPr>
                      <a:picLocks noChangeAspect="1"/>
                    </pic:cNvPicPr>
                  </pic:nvPicPr>
                  <pic:blipFill>
                    <a:blip r:embed="rId10"/>
                    <a:stretch>
                      <a:fillRect/>
                    </a:stretch>
                  </pic:blipFill>
                  <pic:spPr>
                    <a:xfrm>
                      <a:off x="0" y="0"/>
                      <a:ext cx="5758815" cy="8138160"/>
                    </a:xfrm>
                    <a:prstGeom prst="rect">
                      <a:avLst/>
                    </a:prstGeom>
                  </pic:spPr>
                </pic:pic>
              </a:graphicData>
            </a:graphic>
          </wp:inline>
        </w:drawing>
      </w:r>
      <w:r>
        <w:rPr>
          <w:rFonts w:hint="eastAsia"/>
          <w:color w:val="auto"/>
          <w:highlight w:val="none"/>
          <w:lang w:val="en-US" w:eastAsia="zh-CN"/>
        </w:rPr>
        <w:drawing>
          <wp:inline distT="0" distB="0" distL="114300" distR="114300">
            <wp:extent cx="5758815" cy="8138160"/>
            <wp:effectExtent l="0" t="0" r="13335" b="15240"/>
            <wp:docPr id="69" name="图片 69" descr="竣工环保保护验收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竣工环保保护验收意见_02"/>
                    <pic:cNvPicPr>
                      <a:picLocks noChangeAspect="1"/>
                    </pic:cNvPicPr>
                  </pic:nvPicPr>
                  <pic:blipFill>
                    <a:blip r:embed="rId11"/>
                    <a:stretch>
                      <a:fillRect/>
                    </a:stretch>
                  </pic:blipFill>
                  <pic:spPr>
                    <a:xfrm>
                      <a:off x="0" y="0"/>
                      <a:ext cx="5758815" cy="8138160"/>
                    </a:xfrm>
                    <a:prstGeom prst="rect">
                      <a:avLst/>
                    </a:prstGeom>
                  </pic:spPr>
                </pic:pic>
              </a:graphicData>
            </a:graphic>
          </wp:inline>
        </w:drawing>
      </w:r>
      <w:r>
        <w:rPr>
          <w:rFonts w:hint="eastAsia"/>
          <w:color w:val="auto"/>
          <w:highlight w:val="none"/>
          <w:lang w:val="en-US" w:eastAsia="zh-CN"/>
        </w:rPr>
        <w:drawing>
          <wp:inline distT="0" distB="0" distL="114300" distR="114300">
            <wp:extent cx="5758815" cy="8138160"/>
            <wp:effectExtent l="0" t="0" r="13335" b="15240"/>
            <wp:docPr id="70" name="图片 70" descr="竣工环保保护验收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竣工环保保护验收意见_03"/>
                    <pic:cNvPicPr>
                      <a:picLocks noChangeAspect="1"/>
                    </pic:cNvPicPr>
                  </pic:nvPicPr>
                  <pic:blipFill>
                    <a:blip r:embed="rId12"/>
                    <a:stretch>
                      <a:fillRect/>
                    </a:stretch>
                  </pic:blipFill>
                  <pic:spPr>
                    <a:xfrm>
                      <a:off x="0" y="0"/>
                      <a:ext cx="5758815" cy="8138160"/>
                    </a:xfrm>
                    <a:prstGeom prst="rect">
                      <a:avLst/>
                    </a:prstGeom>
                  </pic:spPr>
                </pic:pic>
              </a:graphicData>
            </a:graphic>
          </wp:inline>
        </w:drawing>
      </w:r>
    </w:p>
    <w:p>
      <w:pPr>
        <w:pStyle w:val="5"/>
        <w:keepNext/>
        <w:keepLines/>
        <w:pageBreakBefore w:val="0"/>
        <w:widowControl w:val="0"/>
        <w:kinsoku/>
        <w:wordWrap/>
        <w:overflowPunct/>
        <w:topLinePunct w:val="0"/>
        <w:autoSpaceDE/>
        <w:autoSpaceDN/>
        <w:bidi w:val="0"/>
        <w:adjustRightInd w:val="0"/>
        <w:snapToGrid w:val="0"/>
        <w:spacing w:before="160" w:beforeLines="50" w:after="160" w:afterLines="50"/>
        <w:textAlignment w:val="auto"/>
        <w:rPr>
          <w:rFonts w:hint="default" w:ascii="Times New Roman" w:hAnsi="Times New Roman" w:cs="Times New Roman"/>
          <w:color w:val="auto"/>
          <w:sz w:val="28"/>
          <w:szCs w:val="28"/>
          <w:highlight w:val="none"/>
          <w:lang w:val="en-US" w:eastAsia="zh-CN"/>
        </w:rPr>
      </w:pPr>
      <w:bookmarkStart w:id="145" w:name="_Toc26772"/>
      <w:bookmarkStart w:id="146" w:name="_Toc24781"/>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1</w:t>
      </w:r>
      <w:r>
        <w:rPr>
          <w:rFonts w:hint="eastAsia" w:cs="Times New Roman"/>
          <w:color w:val="auto"/>
          <w:sz w:val="28"/>
          <w:szCs w:val="28"/>
          <w:highlight w:val="none"/>
          <w:lang w:val="en-US" w:eastAsia="zh-CN"/>
        </w:rPr>
        <w:t>4</w:t>
      </w:r>
      <w:r>
        <w:rPr>
          <w:rFonts w:hint="default" w:ascii="Times New Roman" w:hAnsi="Times New Roman"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其他需说明的事项</w:t>
      </w:r>
      <w:bookmarkEnd w:id="145"/>
      <w:bookmarkEnd w:id="146"/>
    </w:p>
    <w:p>
      <w:pPr>
        <w:jc w:val="center"/>
        <w:rPr>
          <w:rFonts w:hint="default" w:ascii="Times New Roman" w:hAnsi="Times New Roman" w:cs="Times New Roman"/>
          <w:color w:val="auto"/>
          <w:sz w:val="28"/>
          <w:szCs w:val="28"/>
          <w:highlight w:val="none"/>
          <w:lang w:val="en-US" w:eastAsia="zh-CN"/>
        </w:rPr>
      </w:pPr>
      <w:r>
        <w:rPr>
          <w:rFonts w:hint="eastAsia"/>
          <w:color w:val="1919FF"/>
          <w:lang w:val="en-US" w:eastAsia="zh-CN"/>
        </w:rPr>
        <w:t>（</w:t>
      </w:r>
      <w:r>
        <w:rPr>
          <w:rFonts w:hint="default"/>
          <w:color w:val="1919FF"/>
          <w:lang w:val="en-US" w:eastAsia="zh-CN"/>
        </w:rPr>
        <w:t>***涉密删除***</w:t>
      </w:r>
      <w:r>
        <w:rPr>
          <w:rFonts w:hint="eastAsia"/>
          <w:color w:val="1919FF"/>
          <w:lang w:val="en-US" w:eastAsia="zh-CN"/>
        </w:rPr>
        <w:t>）</w:t>
      </w:r>
    </w:p>
    <w:p>
      <w:pPr>
        <w:pStyle w:val="16"/>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highlight w:val="none"/>
          <w:lang w:val="en-US" w:eastAsia="zh-CN"/>
        </w:rPr>
      </w:pPr>
    </w:p>
    <w:p>
      <w:pPr>
        <w:pStyle w:val="13"/>
        <w:rPr>
          <w:rFonts w:hint="eastAsia"/>
          <w:color w:val="auto"/>
          <w:highlight w:val="none"/>
          <w:lang w:val="en-US" w:eastAsia="zh-CN"/>
        </w:rPr>
        <w:sectPr>
          <w:pgSz w:w="11906" w:h="16838"/>
          <w:pgMar w:top="1417" w:right="1417" w:bottom="1417" w:left="1417" w:header="851" w:footer="992" w:gutter="0"/>
          <w:pgNumType w:fmt="decimal"/>
          <w:cols w:space="720" w:num="1"/>
          <w:rtlGutter w:val="0"/>
          <w:docGrid w:type="lines" w:linePitch="318" w:charSpace="0"/>
        </w:sectPr>
      </w:pPr>
    </w:p>
    <w:p>
      <w:pPr>
        <w:pStyle w:val="13"/>
        <w:rPr>
          <w:rFonts w:hint="default"/>
          <w:color w:val="auto"/>
          <w:highlight w:val="none"/>
          <w:lang w:val="en-US" w:eastAsia="zh-CN"/>
        </w:rPr>
      </w:pPr>
    </w:p>
    <w:sectPr>
      <w:pgSz w:w="11906" w:h="16838"/>
      <w:pgMar w:top="1417" w:right="1417" w:bottom="1417" w:left="1417" w:header="851" w:footer="992" w:gutter="0"/>
      <w:pgNumType w:fmt="decimal"/>
      <w:cols w:space="72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PingFang SC">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c98bd4QEAAMIDAAAOAAAA&#10;AAAAAAEAIAAAAB4BAABkcnMvZTJvRG9jLnhtbFBLBQYAAAAABgAGAFkBAABxBQAAAAA=&#10;">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H7/WLrgAQAAwgMAAA4AAAAA&#10;AAAAAQAgAAAAHgEAAGRycy9lMm9Eb2MueG1sUEsFBgAAAAAGAAYAWQEAAHAFAAAAAA==&#10;">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BF4AEA"/>
    <w:multiLevelType w:val="singleLevel"/>
    <w:tmpl w:val="5EBF4AE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jOGIxZTUxYzAwYzU2MmZhMDNkOTA0NTUwYTJhYWQifQ=="/>
    <w:docVar w:name="KSO_WPS_MARK_KEY" w:val="b8de1cad-93c0-4b6d-9c45-1f58aee08433"/>
  </w:docVars>
  <w:rsids>
    <w:rsidRoot w:val="00172A27"/>
    <w:rsid w:val="00076791"/>
    <w:rsid w:val="00114FE9"/>
    <w:rsid w:val="00135444"/>
    <w:rsid w:val="001C2F9A"/>
    <w:rsid w:val="002438D7"/>
    <w:rsid w:val="003878C8"/>
    <w:rsid w:val="004E6AD7"/>
    <w:rsid w:val="0050638A"/>
    <w:rsid w:val="00516709"/>
    <w:rsid w:val="005C7926"/>
    <w:rsid w:val="005F284F"/>
    <w:rsid w:val="006D6F3B"/>
    <w:rsid w:val="00710F18"/>
    <w:rsid w:val="007353D3"/>
    <w:rsid w:val="0074702B"/>
    <w:rsid w:val="008E0C60"/>
    <w:rsid w:val="009240F8"/>
    <w:rsid w:val="00933DA1"/>
    <w:rsid w:val="009376E5"/>
    <w:rsid w:val="00984C8B"/>
    <w:rsid w:val="009C15CF"/>
    <w:rsid w:val="009F7630"/>
    <w:rsid w:val="00A30B82"/>
    <w:rsid w:val="00A43989"/>
    <w:rsid w:val="00B81A9F"/>
    <w:rsid w:val="00BA078A"/>
    <w:rsid w:val="00BB6F41"/>
    <w:rsid w:val="00C76CF4"/>
    <w:rsid w:val="00D356E8"/>
    <w:rsid w:val="00DF4266"/>
    <w:rsid w:val="00E33FC6"/>
    <w:rsid w:val="00E70D60"/>
    <w:rsid w:val="00E723FE"/>
    <w:rsid w:val="00E73255"/>
    <w:rsid w:val="00E91E7E"/>
    <w:rsid w:val="00F1764D"/>
    <w:rsid w:val="01050F22"/>
    <w:rsid w:val="010C33D6"/>
    <w:rsid w:val="010E46C9"/>
    <w:rsid w:val="0110479C"/>
    <w:rsid w:val="0119440C"/>
    <w:rsid w:val="012202AD"/>
    <w:rsid w:val="012A0152"/>
    <w:rsid w:val="012A0CA0"/>
    <w:rsid w:val="013712F7"/>
    <w:rsid w:val="014D1D6F"/>
    <w:rsid w:val="01536274"/>
    <w:rsid w:val="01563F22"/>
    <w:rsid w:val="01565C22"/>
    <w:rsid w:val="01623303"/>
    <w:rsid w:val="0169490C"/>
    <w:rsid w:val="0170360E"/>
    <w:rsid w:val="01713208"/>
    <w:rsid w:val="01771543"/>
    <w:rsid w:val="017B7436"/>
    <w:rsid w:val="017C36A9"/>
    <w:rsid w:val="017E77AA"/>
    <w:rsid w:val="01836094"/>
    <w:rsid w:val="018726B3"/>
    <w:rsid w:val="018C51C8"/>
    <w:rsid w:val="018E3F54"/>
    <w:rsid w:val="01930F3B"/>
    <w:rsid w:val="019978BC"/>
    <w:rsid w:val="01A06F76"/>
    <w:rsid w:val="01A27598"/>
    <w:rsid w:val="01AB7AA3"/>
    <w:rsid w:val="01BE0BEE"/>
    <w:rsid w:val="01C04E49"/>
    <w:rsid w:val="01C26E13"/>
    <w:rsid w:val="01D6466C"/>
    <w:rsid w:val="01DF54C5"/>
    <w:rsid w:val="01E02C13"/>
    <w:rsid w:val="01E74067"/>
    <w:rsid w:val="01EA5D5E"/>
    <w:rsid w:val="01F10C42"/>
    <w:rsid w:val="01FA4CC5"/>
    <w:rsid w:val="01FC3CC5"/>
    <w:rsid w:val="0214602C"/>
    <w:rsid w:val="022278B2"/>
    <w:rsid w:val="023C1260"/>
    <w:rsid w:val="024164DA"/>
    <w:rsid w:val="024737BC"/>
    <w:rsid w:val="02493090"/>
    <w:rsid w:val="02532A52"/>
    <w:rsid w:val="025832D3"/>
    <w:rsid w:val="0259781D"/>
    <w:rsid w:val="025A34EF"/>
    <w:rsid w:val="02691984"/>
    <w:rsid w:val="026D0316"/>
    <w:rsid w:val="02752F3E"/>
    <w:rsid w:val="027633A6"/>
    <w:rsid w:val="02766FD2"/>
    <w:rsid w:val="027C3466"/>
    <w:rsid w:val="02866093"/>
    <w:rsid w:val="02923124"/>
    <w:rsid w:val="02931AEB"/>
    <w:rsid w:val="02935F1C"/>
    <w:rsid w:val="029754C0"/>
    <w:rsid w:val="02AF72ED"/>
    <w:rsid w:val="02B875C9"/>
    <w:rsid w:val="02BC1AB4"/>
    <w:rsid w:val="02BC1FF2"/>
    <w:rsid w:val="02BF77F6"/>
    <w:rsid w:val="02C232E4"/>
    <w:rsid w:val="02C44E0D"/>
    <w:rsid w:val="02CF755D"/>
    <w:rsid w:val="02D74B40"/>
    <w:rsid w:val="02E64D17"/>
    <w:rsid w:val="02E81E9C"/>
    <w:rsid w:val="02ED4DBC"/>
    <w:rsid w:val="02EF2307"/>
    <w:rsid w:val="02F73C38"/>
    <w:rsid w:val="02F85BA2"/>
    <w:rsid w:val="02F920DE"/>
    <w:rsid w:val="02FC7947"/>
    <w:rsid w:val="03081215"/>
    <w:rsid w:val="030F2AD8"/>
    <w:rsid w:val="032367E7"/>
    <w:rsid w:val="03263DB3"/>
    <w:rsid w:val="03313D79"/>
    <w:rsid w:val="033276B9"/>
    <w:rsid w:val="03374DB2"/>
    <w:rsid w:val="03396928"/>
    <w:rsid w:val="033F388E"/>
    <w:rsid w:val="034C7A84"/>
    <w:rsid w:val="035C34A3"/>
    <w:rsid w:val="035F1E46"/>
    <w:rsid w:val="03627849"/>
    <w:rsid w:val="036448E4"/>
    <w:rsid w:val="03687FBF"/>
    <w:rsid w:val="036916FE"/>
    <w:rsid w:val="037465B4"/>
    <w:rsid w:val="03784884"/>
    <w:rsid w:val="037B196F"/>
    <w:rsid w:val="038D0ACF"/>
    <w:rsid w:val="038F464C"/>
    <w:rsid w:val="039C3756"/>
    <w:rsid w:val="039D1BD7"/>
    <w:rsid w:val="03AD48F2"/>
    <w:rsid w:val="03BC2AB8"/>
    <w:rsid w:val="03BD3F9A"/>
    <w:rsid w:val="03C965AB"/>
    <w:rsid w:val="03CA0201"/>
    <w:rsid w:val="03D177A0"/>
    <w:rsid w:val="03E063B5"/>
    <w:rsid w:val="03E80D4F"/>
    <w:rsid w:val="03EB498A"/>
    <w:rsid w:val="03F1578E"/>
    <w:rsid w:val="03FD2384"/>
    <w:rsid w:val="04052801"/>
    <w:rsid w:val="040D6149"/>
    <w:rsid w:val="04116EC1"/>
    <w:rsid w:val="04156DE5"/>
    <w:rsid w:val="041B4272"/>
    <w:rsid w:val="04261197"/>
    <w:rsid w:val="042C12A3"/>
    <w:rsid w:val="04326E81"/>
    <w:rsid w:val="043B2FA5"/>
    <w:rsid w:val="04401E09"/>
    <w:rsid w:val="04451A44"/>
    <w:rsid w:val="04545D1C"/>
    <w:rsid w:val="04555532"/>
    <w:rsid w:val="04581CB1"/>
    <w:rsid w:val="04644B13"/>
    <w:rsid w:val="04653F1A"/>
    <w:rsid w:val="0470237D"/>
    <w:rsid w:val="047036D9"/>
    <w:rsid w:val="04726495"/>
    <w:rsid w:val="047A5893"/>
    <w:rsid w:val="047A744D"/>
    <w:rsid w:val="0482710A"/>
    <w:rsid w:val="048941F4"/>
    <w:rsid w:val="048A440D"/>
    <w:rsid w:val="048E30CE"/>
    <w:rsid w:val="04952CA5"/>
    <w:rsid w:val="049B0BA0"/>
    <w:rsid w:val="049C7DEF"/>
    <w:rsid w:val="04A95A26"/>
    <w:rsid w:val="04AD14CD"/>
    <w:rsid w:val="04B556AB"/>
    <w:rsid w:val="04B7694B"/>
    <w:rsid w:val="04BC30ED"/>
    <w:rsid w:val="04CB2483"/>
    <w:rsid w:val="04D055E9"/>
    <w:rsid w:val="04DC4690"/>
    <w:rsid w:val="04ED1171"/>
    <w:rsid w:val="04EE2B0B"/>
    <w:rsid w:val="04F92A23"/>
    <w:rsid w:val="05031EDC"/>
    <w:rsid w:val="0514288D"/>
    <w:rsid w:val="05145BB9"/>
    <w:rsid w:val="05156444"/>
    <w:rsid w:val="05175953"/>
    <w:rsid w:val="051A6F66"/>
    <w:rsid w:val="052873E5"/>
    <w:rsid w:val="052D7347"/>
    <w:rsid w:val="053459D2"/>
    <w:rsid w:val="053C5316"/>
    <w:rsid w:val="054516BB"/>
    <w:rsid w:val="05472F27"/>
    <w:rsid w:val="05521955"/>
    <w:rsid w:val="05586B04"/>
    <w:rsid w:val="055C5D76"/>
    <w:rsid w:val="05647AA6"/>
    <w:rsid w:val="057F662E"/>
    <w:rsid w:val="0580326D"/>
    <w:rsid w:val="058F622A"/>
    <w:rsid w:val="059E7B97"/>
    <w:rsid w:val="05AC43DB"/>
    <w:rsid w:val="05AE3DE5"/>
    <w:rsid w:val="05B11678"/>
    <w:rsid w:val="05BE41E7"/>
    <w:rsid w:val="05C55452"/>
    <w:rsid w:val="05C702EC"/>
    <w:rsid w:val="05C760E5"/>
    <w:rsid w:val="05CB0CCA"/>
    <w:rsid w:val="05D44242"/>
    <w:rsid w:val="05D4625A"/>
    <w:rsid w:val="05D65015"/>
    <w:rsid w:val="05D93879"/>
    <w:rsid w:val="05DB186A"/>
    <w:rsid w:val="05E07A90"/>
    <w:rsid w:val="05EC0902"/>
    <w:rsid w:val="05EC4BB3"/>
    <w:rsid w:val="05ED3107"/>
    <w:rsid w:val="05FF0BC0"/>
    <w:rsid w:val="06013E05"/>
    <w:rsid w:val="06080E93"/>
    <w:rsid w:val="060C5F39"/>
    <w:rsid w:val="061A046F"/>
    <w:rsid w:val="061A5470"/>
    <w:rsid w:val="062058C9"/>
    <w:rsid w:val="06241CCC"/>
    <w:rsid w:val="06345E06"/>
    <w:rsid w:val="063744C3"/>
    <w:rsid w:val="063D0927"/>
    <w:rsid w:val="064061DE"/>
    <w:rsid w:val="064553A4"/>
    <w:rsid w:val="064C13A1"/>
    <w:rsid w:val="064D23F9"/>
    <w:rsid w:val="065D62CE"/>
    <w:rsid w:val="06622973"/>
    <w:rsid w:val="067D4482"/>
    <w:rsid w:val="06823015"/>
    <w:rsid w:val="068A12C2"/>
    <w:rsid w:val="068E2E86"/>
    <w:rsid w:val="068F4934"/>
    <w:rsid w:val="069775B0"/>
    <w:rsid w:val="069A4BD6"/>
    <w:rsid w:val="06A80265"/>
    <w:rsid w:val="06AE678A"/>
    <w:rsid w:val="06B07B82"/>
    <w:rsid w:val="06BA101E"/>
    <w:rsid w:val="06C25382"/>
    <w:rsid w:val="06C607C7"/>
    <w:rsid w:val="06CD08B2"/>
    <w:rsid w:val="06D906BB"/>
    <w:rsid w:val="06F04422"/>
    <w:rsid w:val="06F04498"/>
    <w:rsid w:val="06F210FE"/>
    <w:rsid w:val="06F4329F"/>
    <w:rsid w:val="07084ABE"/>
    <w:rsid w:val="071012AD"/>
    <w:rsid w:val="07191D6D"/>
    <w:rsid w:val="071A61F7"/>
    <w:rsid w:val="071D09FF"/>
    <w:rsid w:val="07226FF7"/>
    <w:rsid w:val="07230354"/>
    <w:rsid w:val="07243771"/>
    <w:rsid w:val="07270FC2"/>
    <w:rsid w:val="072A460F"/>
    <w:rsid w:val="07301D45"/>
    <w:rsid w:val="07306AD0"/>
    <w:rsid w:val="07336B6B"/>
    <w:rsid w:val="07392191"/>
    <w:rsid w:val="073B2762"/>
    <w:rsid w:val="07401C57"/>
    <w:rsid w:val="07545583"/>
    <w:rsid w:val="075C6141"/>
    <w:rsid w:val="075D7207"/>
    <w:rsid w:val="075F17CB"/>
    <w:rsid w:val="0765695A"/>
    <w:rsid w:val="076874E1"/>
    <w:rsid w:val="076C0E2F"/>
    <w:rsid w:val="07834FAC"/>
    <w:rsid w:val="079A523F"/>
    <w:rsid w:val="079D1D60"/>
    <w:rsid w:val="07BC39C2"/>
    <w:rsid w:val="07BF31B0"/>
    <w:rsid w:val="07C02047"/>
    <w:rsid w:val="07D23B28"/>
    <w:rsid w:val="07DC069D"/>
    <w:rsid w:val="07F27F16"/>
    <w:rsid w:val="07FF744E"/>
    <w:rsid w:val="0800211D"/>
    <w:rsid w:val="08033848"/>
    <w:rsid w:val="080A7920"/>
    <w:rsid w:val="080D17FF"/>
    <w:rsid w:val="080D22E9"/>
    <w:rsid w:val="08183C31"/>
    <w:rsid w:val="0819567F"/>
    <w:rsid w:val="081A3735"/>
    <w:rsid w:val="082173DE"/>
    <w:rsid w:val="08236AD2"/>
    <w:rsid w:val="082E1526"/>
    <w:rsid w:val="08392C91"/>
    <w:rsid w:val="083B347B"/>
    <w:rsid w:val="083D3697"/>
    <w:rsid w:val="08467F67"/>
    <w:rsid w:val="084D31AF"/>
    <w:rsid w:val="084D609E"/>
    <w:rsid w:val="085F20FC"/>
    <w:rsid w:val="086C1376"/>
    <w:rsid w:val="086D0C89"/>
    <w:rsid w:val="087C05E2"/>
    <w:rsid w:val="087D45E0"/>
    <w:rsid w:val="089507DF"/>
    <w:rsid w:val="08953F8E"/>
    <w:rsid w:val="08A72892"/>
    <w:rsid w:val="08A97DA3"/>
    <w:rsid w:val="08AA2CDC"/>
    <w:rsid w:val="08BB485B"/>
    <w:rsid w:val="08BB636A"/>
    <w:rsid w:val="08C276F9"/>
    <w:rsid w:val="08D30D5B"/>
    <w:rsid w:val="08DF6E6E"/>
    <w:rsid w:val="08E7715F"/>
    <w:rsid w:val="08EC2A1A"/>
    <w:rsid w:val="08F911B0"/>
    <w:rsid w:val="08FA1588"/>
    <w:rsid w:val="09033A67"/>
    <w:rsid w:val="090C35AE"/>
    <w:rsid w:val="090C60A5"/>
    <w:rsid w:val="090D42C8"/>
    <w:rsid w:val="09132416"/>
    <w:rsid w:val="091512D0"/>
    <w:rsid w:val="09161745"/>
    <w:rsid w:val="09175C96"/>
    <w:rsid w:val="091F05C7"/>
    <w:rsid w:val="091F3EE1"/>
    <w:rsid w:val="092403B3"/>
    <w:rsid w:val="09294883"/>
    <w:rsid w:val="093436D7"/>
    <w:rsid w:val="09350D51"/>
    <w:rsid w:val="093519B9"/>
    <w:rsid w:val="093D3223"/>
    <w:rsid w:val="09540359"/>
    <w:rsid w:val="09557421"/>
    <w:rsid w:val="095E16F9"/>
    <w:rsid w:val="09606A2F"/>
    <w:rsid w:val="0962395A"/>
    <w:rsid w:val="09785568"/>
    <w:rsid w:val="097C01EF"/>
    <w:rsid w:val="097D6023"/>
    <w:rsid w:val="0990296A"/>
    <w:rsid w:val="0994100B"/>
    <w:rsid w:val="099427A4"/>
    <w:rsid w:val="09975029"/>
    <w:rsid w:val="099D7B2B"/>
    <w:rsid w:val="09AB2883"/>
    <w:rsid w:val="09AF7ED3"/>
    <w:rsid w:val="09B434E5"/>
    <w:rsid w:val="09CA0F5B"/>
    <w:rsid w:val="09D405A0"/>
    <w:rsid w:val="09D51CCB"/>
    <w:rsid w:val="09D90B56"/>
    <w:rsid w:val="09EC5E55"/>
    <w:rsid w:val="09F305DC"/>
    <w:rsid w:val="09FB497B"/>
    <w:rsid w:val="09FD28B6"/>
    <w:rsid w:val="0A055E0E"/>
    <w:rsid w:val="0A06284D"/>
    <w:rsid w:val="0A076DE3"/>
    <w:rsid w:val="0A157CFC"/>
    <w:rsid w:val="0A354A28"/>
    <w:rsid w:val="0A5D2729"/>
    <w:rsid w:val="0A6A722B"/>
    <w:rsid w:val="0A6F1B02"/>
    <w:rsid w:val="0A6F2477"/>
    <w:rsid w:val="0A6F38B0"/>
    <w:rsid w:val="0A76061B"/>
    <w:rsid w:val="0A796BF0"/>
    <w:rsid w:val="0A7E0DD1"/>
    <w:rsid w:val="0A86688E"/>
    <w:rsid w:val="0A887E3D"/>
    <w:rsid w:val="0A8A1179"/>
    <w:rsid w:val="0A9D7874"/>
    <w:rsid w:val="0AA27E70"/>
    <w:rsid w:val="0AA36835"/>
    <w:rsid w:val="0AA40BA3"/>
    <w:rsid w:val="0AA51080"/>
    <w:rsid w:val="0AA7129C"/>
    <w:rsid w:val="0AAA0DB1"/>
    <w:rsid w:val="0AAC240E"/>
    <w:rsid w:val="0AAE5979"/>
    <w:rsid w:val="0AAF40BD"/>
    <w:rsid w:val="0AB40A27"/>
    <w:rsid w:val="0AB73D18"/>
    <w:rsid w:val="0AB92C60"/>
    <w:rsid w:val="0ABE6F44"/>
    <w:rsid w:val="0AD81455"/>
    <w:rsid w:val="0AD87B45"/>
    <w:rsid w:val="0ADA51CD"/>
    <w:rsid w:val="0AEE2CDA"/>
    <w:rsid w:val="0AF57FDB"/>
    <w:rsid w:val="0AFB14F8"/>
    <w:rsid w:val="0B0208A2"/>
    <w:rsid w:val="0B031F5E"/>
    <w:rsid w:val="0B071F89"/>
    <w:rsid w:val="0B093D05"/>
    <w:rsid w:val="0B124662"/>
    <w:rsid w:val="0B13583D"/>
    <w:rsid w:val="0B163D2C"/>
    <w:rsid w:val="0B1D489D"/>
    <w:rsid w:val="0B372620"/>
    <w:rsid w:val="0B487A22"/>
    <w:rsid w:val="0B4B5211"/>
    <w:rsid w:val="0B4E11FE"/>
    <w:rsid w:val="0B5B23C0"/>
    <w:rsid w:val="0B632BAC"/>
    <w:rsid w:val="0B6433C4"/>
    <w:rsid w:val="0B664479"/>
    <w:rsid w:val="0B6C7CFC"/>
    <w:rsid w:val="0B7218AA"/>
    <w:rsid w:val="0B722DFB"/>
    <w:rsid w:val="0B776EC0"/>
    <w:rsid w:val="0B7A6EC2"/>
    <w:rsid w:val="0B7C2A58"/>
    <w:rsid w:val="0B7D566A"/>
    <w:rsid w:val="0B7E024F"/>
    <w:rsid w:val="0B8213C1"/>
    <w:rsid w:val="0B84338B"/>
    <w:rsid w:val="0B990A18"/>
    <w:rsid w:val="0BA35BF8"/>
    <w:rsid w:val="0BA637D9"/>
    <w:rsid w:val="0BAB2397"/>
    <w:rsid w:val="0BB105F3"/>
    <w:rsid w:val="0BC624E5"/>
    <w:rsid w:val="0BC633BD"/>
    <w:rsid w:val="0BC67353"/>
    <w:rsid w:val="0BCB4B16"/>
    <w:rsid w:val="0BD87FC5"/>
    <w:rsid w:val="0BD95485"/>
    <w:rsid w:val="0BDE0963"/>
    <w:rsid w:val="0BE12480"/>
    <w:rsid w:val="0BE1258C"/>
    <w:rsid w:val="0BE61950"/>
    <w:rsid w:val="0BF027CF"/>
    <w:rsid w:val="0BF5708A"/>
    <w:rsid w:val="0BF73BD2"/>
    <w:rsid w:val="0BF81F15"/>
    <w:rsid w:val="0C1069CD"/>
    <w:rsid w:val="0C1532AA"/>
    <w:rsid w:val="0C160487"/>
    <w:rsid w:val="0C1C6680"/>
    <w:rsid w:val="0C215AEE"/>
    <w:rsid w:val="0C382D82"/>
    <w:rsid w:val="0C450EBA"/>
    <w:rsid w:val="0C4B60A7"/>
    <w:rsid w:val="0C4C3EA9"/>
    <w:rsid w:val="0C5B0590"/>
    <w:rsid w:val="0C650A72"/>
    <w:rsid w:val="0C6909BC"/>
    <w:rsid w:val="0C721436"/>
    <w:rsid w:val="0C7C23AA"/>
    <w:rsid w:val="0C804BD0"/>
    <w:rsid w:val="0C881658"/>
    <w:rsid w:val="0C8A49D1"/>
    <w:rsid w:val="0C940CC4"/>
    <w:rsid w:val="0C9413AC"/>
    <w:rsid w:val="0C9F3C04"/>
    <w:rsid w:val="0CAC2B9A"/>
    <w:rsid w:val="0CB47CA0"/>
    <w:rsid w:val="0CD13132"/>
    <w:rsid w:val="0CE409D8"/>
    <w:rsid w:val="0CF064E0"/>
    <w:rsid w:val="0CF1523C"/>
    <w:rsid w:val="0D085315"/>
    <w:rsid w:val="0D0C53E6"/>
    <w:rsid w:val="0D12777C"/>
    <w:rsid w:val="0D1C7D1F"/>
    <w:rsid w:val="0D27683B"/>
    <w:rsid w:val="0D41674E"/>
    <w:rsid w:val="0D422131"/>
    <w:rsid w:val="0D7143C8"/>
    <w:rsid w:val="0D73130E"/>
    <w:rsid w:val="0D732131"/>
    <w:rsid w:val="0D794D4D"/>
    <w:rsid w:val="0D8026E0"/>
    <w:rsid w:val="0D9E6B2C"/>
    <w:rsid w:val="0D9F1201"/>
    <w:rsid w:val="0DA57405"/>
    <w:rsid w:val="0DB15320"/>
    <w:rsid w:val="0DBE6A4F"/>
    <w:rsid w:val="0DBF2FF8"/>
    <w:rsid w:val="0DC6436E"/>
    <w:rsid w:val="0DC76A33"/>
    <w:rsid w:val="0DD44D03"/>
    <w:rsid w:val="0DD61B7C"/>
    <w:rsid w:val="0DDC5B7C"/>
    <w:rsid w:val="0DE8643E"/>
    <w:rsid w:val="0DED58E0"/>
    <w:rsid w:val="0DF8763E"/>
    <w:rsid w:val="0E081C20"/>
    <w:rsid w:val="0E097B78"/>
    <w:rsid w:val="0E191BAB"/>
    <w:rsid w:val="0E1E1CE1"/>
    <w:rsid w:val="0E1F66E4"/>
    <w:rsid w:val="0E2370B4"/>
    <w:rsid w:val="0E325F65"/>
    <w:rsid w:val="0E39220B"/>
    <w:rsid w:val="0E3C3EFA"/>
    <w:rsid w:val="0E487A5E"/>
    <w:rsid w:val="0E4A2CF0"/>
    <w:rsid w:val="0E5825A2"/>
    <w:rsid w:val="0E6000E3"/>
    <w:rsid w:val="0E69325D"/>
    <w:rsid w:val="0E6F74A0"/>
    <w:rsid w:val="0E7C47EE"/>
    <w:rsid w:val="0E821C25"/>
    <w:rsid w:val="0E9B4435"/>
    <w:rsid w:val="0E9B51D3"/>
    <w:rsid w:val="0EA1505A"/>
    <w:rsid w:val="0EA50F07"/>
    <w:rsid w:val="0EA84A9D"/>
    <w:rsid w:val="0EAC1C08"/>
    <w:rsid w:val="0EAF0130"/>
    <w:rsid w:val="0EBC685F"/>
    <w:rsid w:val="0ED33AA1"/>
    <w:rsid w:val="0ED6071D"/>
    <w:rsid w:val="0ED623B0"/>
    <w:rsid w:val="0EDA03CF"/>
    <w:rsid w:val="0EF0708D"/>
    <w:rsid w:val="0EF3685E"/>
    <w:rsid w:val="0EF77800"/>
    <w:rsid w:val="0EF85BD3"/>
    <w:rsid w:val="0EFB3F63"/>
    <w:rsid w:val="0F043DFA"/>
    <w:rsid w:val="0F136E30"/>
    <w:rsid w:val="0F1863CB"/>
    <w:rsid w:val="0F1A64E0"/>
    <w:rsid w:val="0F204823"/>
    <w:rsid w:val="0F303B5A"/>
    <w:rsid w:val="0F372337"/>
    <w:rsid w:val="0F380715"/>
    <w:rsid w:val="0F3862D9"/>
    <w:rsid w:val="0F3A26DF"/>
    <w:rsid w:val="0F3C025F"/>
    <w:rsid w:val="0F3D21CF"/>
    <w:rsid w:val="0F3D61BD"/>
    <w:rsid w:val="0F403A6D"/>
    <w:rsid w:val="0F475133"/>
    <w:rsid w:val="0F490B74"/>
    <w:rsid w:val="0F497EA5"/>
    <w:rsid w:val="0F566DED"/>
    <w:rsid w:val="0F59068B"/>
    <w:rsid w:val="0F5C0BC9"/>
    <w:rsid w:val="0F5C33D0"/>
    <w:rsid w:val="0F5F0397"/>
    <w:rsid w:val="0F6E1A0F"/>
    <w:rsid w:val="0F816D60"/>
    <w:rsid w:val="0F8723B2"/>
    <w:rsid w:val="0F9D7651"/>
    <w:rsid w:val="0FA04614"/>
    <w:rsid w:val="0FA72135"/>
    <w:rsid w:val="0FAE4FD5"/>
    <w:rsid w:val="0FB0161D"/>
    <w:rsid w:val="0FB56209"/>
    <w:rsid w:val="0FB81855"/>
    <w:rsid w:val="0FBC1643"/>
    <w:rsid w:val="0FC06349"/>
    <w:rsid w:val="0FC85F3C"/>
    <w:rsid w:val="0FC95811"/>
    <w:rsid w:val="0FCC79A8"/>
    <w:rsid w:val="0FD6192F"/>
    <w:rsid w:val="0FD810CF"/>
    <w:rsid w:val="0FDC43C5"/>
    <w:rsid w:val="0FE10286"/>
    <w:rsid w:val="0FE17D7F"/>
    <w:rsid w:val="0FE95B9A"/>
    <w:rsid w:val="0FF32896"/>
    <w:rsid w:val="0FFF1C3F"/>
    <w:rsid w:val="10111887"/>
    <w:rsid w:val="101C7A12"/>
    <w:rsid w:val="102251E7"/>
    <w:rsid w:val="10340523"/>
    <w:rsid w:val="10362DC0"/>
    <w:rsid w:val="10380ED8"/>
    <w:rsid w:val="10417F2A"/>
    <w:rsid w:val="10427107"/>
    <w:rsid w:val="10516F7E"/>
    <w:rsid w:val="105540A8"/>
    <w:rsid w:val="106B68C8"/>
    <w:rsid w:val="106B7A4C"/>
    <w:rsid w:val="106D2B9B"/>
    <w:rsid w:val="106F43CC"/>
    <w:rsid w:val="10700AF4"/>
    <w:rsid w:val="107B48DF"/>
    <w:rsid w:val="10811ACB"/>
    <w:rsid w:val="108165FA"/>
    <w:rsid w:val="108546A9"/>
    <w:rsid w:val="108550E9"/>
    <w:rsid w:val="10905711"/>
    <w:rsid w:val="109732BA"/>
    <w:rsid w:val="109B375A"/>
    <w:rsid w:val="10A1053B"/>
    <w:rsid w:val="10A206FC"/>
    <w:rsid w:val="10B347B3"/>
    <w:rsid w:val="10B7780D"/>
    <w:rsid w:val="10B83303"/>
    <w:rsid w:val="10C92165"/>
    <w:rsid w:val="10D562A1"/>
    <w:rsid w:val="10D74296"/>
    <w:rsid w:val="10E3114D"/>
    <w:rsid w:val="10E33BB3"/>
    <w:rsid w:val="10E6512D"/>
    <w:rsid w:val="10E80883"/>
    <w:rsid w:val="10F1501F"/>
    <w:rsid w:val="10F86A41"/>
    <w:rsid w:val="10FA0A89"/>
    <w:rsid w:val="11034D52"/>
    <w:rsid w:val="110A7E8F"/>
    <w:rsid w:val="110E1B22"/>
    <w:rsid w:val="11113CCE"/>
    <w:rsid w:val="1111780B"/>
    <w:rsid w:val="1118180F"/>
    <w:rsid w:val="1118760A"/>
    <w:rsid w:val="111A31B2"/>
    <w:rsid w:val="111B242A"/>
    <w:rsid w:val="11237AA3"/>
    <w:rsid w:val="112B1940"/>
    <w:rsid w:val="112B3CBF"/>
    <w:rsid w:val="112C24FB"/>
    <w:rsid w:val="112E2D35"/>
    <w:rsid w:val="113A117B"/>
    <w:rsid w:val="11416A9A"/>
    <w:rsid w:val="11505E4D"/>
    <w:rsid w:val="11594C71"/>
    <w:rsid w:val="115E3A73"/>
    <w:rsid w:val="116245C3"/>
    <w:rsid w:val="1166769D"/>
    <w:rsid w:val="116766CC"/>
    <w:rsid w:val="11695CA6"/>
    <w:rsid w:val="116A1C7E"/>
    <w:rsid w:val="117717A0"/>
    <w:rsid w:val="11776A7F"/>
    <w:rsid w:val="117C2E73"/>
    <w:rsid w:val="117C6AEB"/>
    <w:rsid w:val="1182473E"/>
    <w:rsid w:val="119368FA"/>
    <w:rsid w:val="11965BC6"/>
    <w:rsid w:val="11977084"/>
    <w:rsid w:val="11A402E3"/>
    <w:rsid w:val="11A6405B"/>
    <w:rsid w:val="11AB51DC"/>
    <w:rsid w:val="11B33667"/>
    <w:rsid w:val="11B7573D"/>
    <w:rsid w:val="11B76A3F"/>
    <w:rsid w:val="11CB1C2C"/>
    <w:rsid w:val="11CF3A13"/>
    <w:rsid w:val="11D0008C"/>
    <w:rsid w:val="11D30BC8"/>
    <w:rsid w:val="11D34725"/>
    <w:rsid w:val="11ED1C8A"/>
    <w:rsid w:val="11EE7B3B"/>
    <w:rsid w:val="120606BD"/>
    <w:rsid w:val="121E0096"/>
    <w:rsid w:val="12217B86"/>
    <w:rsid w:val="122C0F93"/>
    <w:rsid w:val="122F3B9C"/>
    <w:rsid w:val="1232040D"/>
    <w:rsid w:val="12372F05"/>
    <w:rsid w:val="12372FC7"/>
    <w:rsid w:val="1237572B"/>
    <w:rsid w:val="12395EF2"/>
    <w:rsid w:val="1246280E"/>
    <w:rsid w:val="124974A3"/>
    <w:rsid w:val="12590448"/>
    <w:rsid w:val="125D4A60"/>
    <w:rsid w:val="125E7165"/>
    <w:rsid w:val="12625A41"/>
    <w:rsid w:val="12637090"/>
    <w:rsid w:val="126F57D1"/>
    <w:rsid w:val="127557DC"/>
    <w:rsid w:val="127C4DBC"/>
    <w:rsid w:val="127E726F"/>
    <w:rsid w:val="128F2D41"/>
    <w:rsid w:val="12BD15DC"/>
    <w:rsid w:val="12C41A31"/>
    <w:rsid w:val="12CF76D1"/>
    <w:rsid w:val="12D14FCC"/>
    <w:rsid w:val="12D42FDC"/>
    <w:rsid w:val="12DD1F77"/>
    <w:rsid w:val="12DD2F30"/>
    <w:rsid w:val="12E23728"/>
    <w:rsid w:val="12E269DE"/>
    <w:rsid w:val="12EC13E9"/>
    <w:rsid w:val="12F11306"/>
    <w:rsid w:val="12F313FC"/>
    <w:rsid w:val="12F404A0"/>
    <w:rsid w:val="12F7255C"/>
    <w:rsid w:val="130628D8"/>
    <w:rsid w:val="131639D8"/>
    <w:rsid w:val="131C792D"/>
    <w:rsid w:val="131D75A3"/>
    <w:rsid w:val="13220EF9"/>
    <w:rsid w:val="13282BA3"/>
    <w:rsid w:val="132C2BB7"/>
    <w:rsid w:val="1333221C"/>
    <w:rsid w:val="13374A3C"/>
    <w:rsid w:val="13433B2C"/>
    <w:rsid w:val="13530215"/>
    <w:rsid w:val="1380268A"/>
    <w:rsid w:val="13857CA0"/>
    <w:rsid w:val="138E4DA7"/>
    <w:rsid w:val="139811F8"/>
    <w:rsid w:val="139817CC"/>
    <w:rsid w:val="139D4056"/>
    <w:rsid w:val="139F4C5E"/>
    <w:rsid w:val="13A27A23"/>
    <w:rsid w:val="13A37783"/>
    <w:rsid w:val="13A9462C"/>
    <w:rsid w:val="13B642FE"/>
    <w:rsid w:val="13BD4186"/>
    <w:rsid w:val="13C172C9"/>
    <w:rsid w:val="13C335A6"/>
    <w:rsid w:val="13C56248"/>
    <w:rsid w:val="13C874BA"/>
    <w:rsid w:val="13CB5B5C"/>
    <w:rsid w:val="13E07E6F"/>
    <w:rsid w:val="13E54790"/>
    <w:rsid w:val="13E744B7"/>
    <w:rsid w:val="14006EA6"/>
    <w:rsid w:val="1402475B"/>
    <w:rsid w:val="140661FB"/>
    <w:rsid w:val="140D6614"/>
    <w:rsid w:val="14107EB2"/>
    <w:rsid w:val="141A206E"/>
    <w:rsid w:val="141E5640"/>
    <w:rsid w:val="141E643B"/>
    <w:rsid w:val="1427103E"/>
    <w:rsid w:val="1455014C"/>
    <w:rsid w:val="1457163D"/>
    <w:rsid w:val="145F1344"/>
    <w:rsid w:val="14631BBF"/>
    <w:rsid w:val="1466782A"/>
    <w:rsid w:val="14691B4B"/>
    <w:rsid w:val="146B055A"/>
    <w:rsid w:val="146D39F3"/>
    <w:rsid w:val="146E5D7A"/>
    <w:rsid w:val="147111AE"/>
    <w:rsid w:val="14720225"/>
    <w:rsid w:val="14733F9D"/>
    <w:rsid w:val="14772A2F"/>
    <w:rsid w:val="14774EC2"/>
    <w:rsid w:val="147A6D33"/>
    <w:rsid w:val="14891A12"/>
    <w:rsid w:val="148C6A8A"/>
    <w:rsid w:val="148E4385"/>
    <w:rsid w:val="14953A89"/>
    <w:rsid w:val="149F3560"/>
    <w:rsid w:val="14A059F3"/>
    <w:rsid w:val="14A119B2"/>
    <w:rsid w:val="14A37CF1"/>
    <w:rsid w:val="14A800EA"/>
    <w:rsid w:val="14AB4A63"/>
    <w:rsid w:val="14AC4381"/>
    <w:rsid w:val="14B310FD"/>
    <w:rsid w:val="14B77DB7"/>
    <w:rsid w:val="14BB1F5D"/>
    <w:rsid w:val="14BC0F06"/>
    <w:rsid w:val="14C36CD2"/>
    <w:rsid w:val="14CD3D4D"/>
    <w:rsid w:val="14D06AEA"/>
    <w:rsid w:val="14D25167"/>
    <w:rsid w:val="14D35C44"/>
    <w:rsid w:val="14D92A17"/>
    <w:rsid w:val="14DA401C"/>
    <w:rsid w:val="14F122F5"/>
    <w:rsid w:val="14F44B21"/>
    <w:rsid w:val="14F62BDA"/>
    <w:rsid w:val="150C68CB"/>
    <w:rsid w:val="15142BDE"/>
    <w:rsid w:val="15163154"/>
    <w:rsid w:val="151C3C5C"/>
    <w:rsid w:val="15233B2D"/>
    <w:rsid w:val="152858AE"/>
    <w:rsid w:val="152B4878"/>
    <w:rsid w:val="152F670A"/>
    <w:rsid w:val="15413638"/>
    <w:rsid w:val="154574B3"/>
    <w:rsid w:val="15487C2E"/>
    <w:rsid w:val="154B375D"/>
    <w:rsid w:val="15510782"/>
    <w:rsid w:val="15565FF1"/>
    <w:rsid w:val="155B7F51"/>
    <w:rsid w:val="155C2C83"/>
    <w:rsid w:val="15662B85"/>
    <w:rsid w:val="1569767E"/>
    <w:rsid w:val="1574566E"/>
    <w:rsid w:val="157B3678"/>
    <w:rsid w:val="157F1C29"/>
    <w:rsid w:val="158B629F"/>
    <w:rsid w:val="159266A5"/>
    <w:rsid w:val="15945703"/>
    <w:rsid w:val="15957F94"/>
    <w:rsid w:val="159C6084"/>
    <w:rsid w:val="159D5748"/>
    <w:rsid w:val="15A30D28"/>
    <w:rsid w:val="15A327B7"/>
    <w:rsid w:val="15A85292"/>
    <w:rsid w:val="15AA7DF9"/>
    <w:rsid w:val="15AC59B8"/>
    <w:rsid w:val="15AE4ACD"/>
    <w:rsid w:val="15AE69E9"/>
    <w:rsid w:val="15B12D3A"/>
    <w:rsid w:val="15B13B0D"/>
    <w:rsid w:val="15BD78E6"/>
    <w:rsid w:val="15C30719"/>
    <w:rsid w:val="15CA4029"/>
    <w:rsid w:val="15D77D78"/>
    <w:rsid w:val="15D97F97"/>
    <w:rsid w:val="15DD0268"/>
    <w:rsid w:val="15E30EA3"/>
    <w:rsid w:val="15EB196C"/>
    <w:rsid w:val="15ED57CD"/>
    <w:rsid w:val="15EF530D"/>
    <w:rsid w:val="15F6448D"/>
    <w:rsid w:val="15FC5BCD"/>
    <w:rsid w:val="15FC62BD"/>
    <w:rsid w:val="160E0A40"/>
    <w:rsid w:val="161816F7"/>
    <w:rsid w:val="16261E12"/>
    <w:rsid w:val="162639BD"/>
    <w:rsid w:val="16265B00"/>
    <w:rsid w:val="162E35DB"/>
    <w:rsid w:val="162E60EA"/>
    <w:rsid w:val="163D4B21"/>
    <w:rsid w:val="1647748F"/>
    <w:rsid w:val="16485BD9"/>
    <w:rsid w:val="16497E2F"/>
    <w:rsid w:val="164F468C"/>
    <w:rsid w:val="16521B05"/>
    <w:rsid w:val="16535B53"/>
    <w:rsid w:val="16794FF5"/>
    <w:rsid w:val="168601F0"/>
    <w:rsid w:val="16863577"/>
    <w:rsid w:val="1688192D"/>
    <w:rsid w:val="16A834AF"/>
    <w:rsid w:val="16AA299B"/>
    <w:rsid w:val="16B20DAC"/>
    <w:rsid w:val="16C84A74"/>
    <w:rsid w:val="16CB4564"/>
    <w:rsid w:val="16CD208A"/>
    <w:rsid w:val="16CE195E"/>
    <w:rsid w:val="16DA0303"/>
    <w:rsid w:val="16DB743F"/>
    <w:rsid w:val="16ED0036"/>
    <w:rsid w:val="16F5696C"/>
    <w:rsid w:val="16FD5257"/>
    <w:rsid w:val="17044C01"/>
    <w:rsid w:val="170A508C"/>
    <w:rsid w:val="170C7DA2"/>
    <w:rsid w:val="171C6B6E"/>
    <w:rsid w:val="17215EEB"/>
    <w:rsid w:val="172A32C5"/>
    <w:rsid w:val="17315F09"/>
    <w:rsid w:val="17332BAA"/>
    <w:rsid w:val="17371C20"/>
    <w:rsid w:val="173739A8"/>
    <w:rsid w:val="173845ED"/>
    <w:rsid w:val="173F1493"/>
    <w:rsid w:val="17432017"/>
    <w:rsid w:val="174C7453"/>
    <w:rsid w:val="17627506"/>
    <w:rsid w:val="176448E6"/>
    <w:rsid w:val="176462C7"/>
    <w:rsid w:val="17654071"/>
    <w:rsid w:val="176C4AB8"/>
    <w:rsid w:val="176D1177"/>
    <w:rsid w:val="176F0DBB"/>
    <w:rsid w:val="17797B1C"/>
    <w:rsid w:val="177A6D05"/>
    <w:rsid w:val="17807DAD"/>
    <w:rsid w:val="17840174"/>
    <w:rsid w:val="17872548"/>
    <w:rsid w:val="17A0709E"/>
    <w:rsid w:val="17A90503"/>
    <w:rsid w:val="17B1375A"/>
    <w:rsid w:val="17B56E42"/>
    <w:rsid w:val="17BD3AE8"/>
    <w:rsid w:val="17C36FE9"/>
    <w:rsid w:val="17C42121"/>
    <w:rsid w:val="17C46E58"/>
    <w:rsid w:val="17C4775A"/>
    <w:rsid w:val="17CB1111"/>
    <w:rsid w:val="17CC711B"/>
    <w:rsid w:val="17D921D9"/>
    <w:rsid w:val="17DA4A5F"/>
    <w:rsid w:val="17E1478E"/>
    <w:rsid w:val="17E529D1"/>
    <w:rsid w:val="17E9103E"/>
    <w:rsid w:val="17EC6CE1"/>
    <w:rsid w:val="17F9141B"/>
    <w:rsid w:val="18016257"/>
    <w:rsid w:val="180659C5"/>
    <w:rsid w:val="180A1E94"/>
    <w:rsid w:val="180A5720"/>
    <w:rsid w:val="180C0F64"/>
    <w:rsid w:val="18276808"/>
    <w:rsid w:val="18397C4D"/>
    <w:rsid w:val="183B3596"/>
    <w:rsid w:val="18410FF6"/>
    <w:rsid w:val="18431402"/>
    <w:rsid w:val="184476F0"/>
    <w:rsid w:val="184804FF"/>
    <w:rsid w:val="18563C24"/>
    <w:rsid w:val="18574301"/>
    <w:rsid w:val="186524F2"/>
    <w:rsid w:val="186A3229"/>
    <w:rsid w:val="186B1F11"/>
    <w:rsid w:val="186E33F9"/>
    <w:rsid w:val="18770500"/>
    <w:rsid w:val="187B091F"/>
    <w:rsid w:val="187D53EA"/>
    <w:rsid w:val="187D7822"/>
    <w:rsid w:val="187F03E6"/>
    <w:rsid w:val="188226D1"/>
    <w:rsid w:val="188629D2"/>
    <w:rsid w:val="188A463F"/>
    <w:rsid w:val="188B7B07"/>
    <w:rsid w:val="189310B2"/>
    <w:rsid w:val="18932E60"/>
    <w:rsid w:val="189A4C14"/>
    <w:rsid w:val="189F33C8"/>
    <w:rsid w:val="189F6C03"/>
    <w:rsid w:val="18A230A3"/>
    <w:rsid w:val="18A54381"/>
    <w:rsid w:val="18AB01A9"/>
    <w:rsid w:val="18B74660"/>
    <w:rsid w:val="18B83BC8"/>
    <w:rsid w:val="18BA528D"/>
    <w:rsid w:val="18C15C1F"/>
    <w:rsid w:val="18C3527D"/>
    <w:rsid w:val="18C41835"/>
    <w:rsid w:val="18C65559"/>
    <w:rsid w:val="18C75F2E"/>
    <w:rsid w:val="18CD28AD"/>
    <w:rsid w:val="18D21BDA"/>
    <w:rsid w:val="18D6132D"/>
    <w:rsid w:val="18E34F27"/>
    <w:rsid w:val="18EC5EEB"/>
    <w:rsid w:val="18F43202"/>
    <w:rsid w:val="18F97167"/>
    <w:rsid w:val="19063631"/>
    <w:rsid w:val="19106B2B"/>
    <w:rsid w:val="191A647A"/>
    <w:rsid w:val="192865E6"/>
    <w:rsid w:val="19381B5D"/>
    <w:rsid w:val="193E2491"/>
    <w:rsid w:val="1942699C"/>
    <w:rsid w:val="19523C51"/>
    <w:rsid w:val="19556590"/>
    <w:rsid w:val="195814D9"/>
    <w:rsid w:val="1959497E"/>
    <w:rsid w:val="1975392B"/>
    <w:rsid w:val="19791440"/>
    <w:rsid w:val="197B1BC7"/>
    <w:rsid w:val="197B401F"/>
    <w:rsid w:val="198B6C14"/>
    <w:rsid w:val="19936669"/>
    <w:rsid w:val="199533B8"/>
    <w:rsid w:val="19A30E80"/>
    <w:rsid w:val="19A83C21"/>
    <w:rsid w:val="19AC04F5"/>
    <w:rsid w:val="19AF6E9E"/>
    <w:rsid w:val="19B33AEA"/>
    <w:rsid w:val="19BC5A35"/>
    <w:rsid w:val="19C05ED6"/>
    <w:rsid w:val="19C42FAA"/>
    <w:rsid w:val="19C534C4"/>
    <w:rsid w:val="19C534ED"/>
    <w:rsid w:val="19C6438E"/>
    <w:rsid w:val="19C66E87"/>
    <w:rsid w:val="19D43730"/>
    <w:rsid w:val="19DB686C"/>
    <w:rsid w:val="19E34E02"/>
    <w:rsid w:val="19E36030"/>
    <w:rsid w:val="19EA363F"/>
    <w:rsid w:val="19EE1B08"/>
    <w:rsid w:val="19F4792E"/>
    <w:rsid w:val="19F74736"/>
    <w:rsid w:val="19FF55DA"/>
    <w:rsid w:val="1A036F6F"/>
    <w:rsid w:val="1A064D58"/>
    <w:rsid w:val="1A082EDA"/>
    <w:rsid w:val="1A0E2443"/>
    <w:rsid w:val="1A170095"/>
    <w:rsid w:val="1A221903"/>
    <w:rsid w:val="1A27466E"/>
    <w:rsid w:val="1A2D36C7"/>
    <w:rsid w:val="1A2E5A87"/>
    <w:rsid w:val="1A324D69"/>
    <w:rsid w:val="1A365B35"/>
    <w:rsid w:val="1A3B71FC"/>
    <w:rsid w:val="1A457830"/>
    <w:rsid w:val="1A4772FE"/>
    <w:rsid w:val="1A524D2C"/>
    <w:rsid w:val="1A644AB4"/>
    <w:rsid w:val="1A647F44"/>
    <w:rsid w:val="1A78440F"/>
    <w:rsid w:val="1A7A262A"/>
    <w:rsid w:val="1A7F2207"/>
    <w:rsid w:val="1A837D05"/>
    <w:rsid w:val="1A846F04"/>
    <w:rsid w:val="1A871BC7"/>
    <w:rsid w:val="1A8F7BA9"/>
    <w:rsid w:val="1A900F39"/>
    <w:rsid w:val="1A9228C1"/>
    <w:rsid w:val="1A922EB8"/>
    <w:rsid w:val="1A9514D8"/>
    <w:rsid w:val="1A9603D7"/>
    <w:rsid w:val="1A9722A6"/>
    <w:rsid w:val="1A9749BE"/>
    <w:rsid w:val="1AAA5691"/>
    <w:rsid w:val="1AAB493B"/>
    <w:rsid w:val="1AAC5801"/>
    <w:rsid w:val="1ABA63AC"/>
    <w:rsid w:val="1ABC731F"/>
    <w:rsid w:val="1AC05ECD"/>
    <w:rsid w:val="1AC15A62"/>
    <w:rsid w:val="1AC24F24"/>
    <w:rsid w:val="1AC35F8E"/>
    <w:rsid w:val="1AC404F7"/>
    <w:rsid w:val="1AC63162"/>
    <w:rsid w:val="1AD1624D"/>
    <w:rsid w:val="1AD339E7"/>
    <w:rsid w:val="1AD5119B"/>
    <w:rsid w:val="1ADA2FC8"/>
    <w:rsid w:val="1ADE1BE9"/>
    <w:rsid w:val="1AE9514C"/>
    <w:rsid w:val="1AEA7CB8"/>
    <w:rsid w:val="1AEB304F"/>
    <w:rsid w:val="1AEC0D6E"/>
    <w:rsid w:val="1B040045"/>
    <w:rsid w:val="1B072DA5"/>
    <w:rsid w:val="1B15654F"/>
    <w:rsid w:val="1B16140A"/>
    <w:rsid w:val="1B1B35DD"/>
    <w:rsid w:val="1B1D759F"/>
    <w:rsid w:val="1B231D2A"/>
    <w:rsid w:val="1B2A4E78"/>
    <w:rsid w:val="1B2B3823"/>
    <w:rsid w:val="1B2B7C80"/>
    <w:rsid w:val="1B3F456F"/>
    <w:rsid w:val="1B420340"/>
    <w:rsid w:val="1B4C57EB"/>
    <w:rsid w:val="1B543FC6"/>
    <w:rsid w:val="1B57299A"/>
    <w:rsid w:val="1B60171F"/>
    <w:rsid w:val="1B645DC1"/>
    <w:rsid w:val="1B682381"/>
    <w:rsid w:val="1B694D12"/>
    <w:rsid w:val="1B6D1746"/>
    <w:rsid w:val="1B6E44CF"/>
    <w:rsid w:val="1B734F11"/>
    <w:rsid w:val="1B763330"/>
    <w:rsid w:val="1B7927E1"/>
    <w:rsid w:val="1B9E3FF5"/>
    <w:rsid w:val="1BAB04C0"/>
    <w:rsid w:val="1BBF41E1"/>
    <w:rsid w:val="1BC75E94"/>
    <w:rsid w:val="1BD619E1"/>
    <w:rsid w:val="1BDA72D5"/>
    <w:rsid w:val="1BDE3F42"/>
    <w:rsid w:val="1BE77D89"/>
    <w:rsid w:val="1BED15EC"/>
    <w:rsid w:val="1BEF68C7"/>
    <w:rsid w:val="1BF04FA7"/>
    <w:rsid w:val="1BF105C9"/>
    <w:rsid w:val="1BF1060E"/>
    <w:rsid w:val="1BF26778"/>
    <w:rsid w:val="1C0307FF"/>
    <w:rsid w:val="1C0E137A"/>
    <w:rsid w:val="1C1442B7"/>
    <w:rsid w:val="1C163F7C"/>
    <w:rsid w:val="1C191377"/>
    <w:rsid w:val="1C1E5DF5"/>
    <w:rsid w:val="1C2347C4"/>
    <w:rsid w:val="1C2A3ADB"/>
    <w:rsid w:val="1C2F1CCC"/>
    <w:rsid w:val="1C321CE3"/>
    <w:rsid w:val="1C44694B"/>
    <w:rsid w:val="1C4E1577"/>
    <w:rsid w:val="1C5A0892"/>
    <w:rsid w:val="1C63169E"/>
    <w:rsid w:val="1C650D9C"/>
    <w:rsid w:val="1C655370"/>
    <w:rsid w:val="1C666151"/>
    <w:rsid w:val="1C6840AB"/>
    <w:rsid w:val="1C6C62F7"/>
    <w:rsid w:val="1C7D5B40"/>
    <w:rsid w:val="1C7E2CF4"/>
    <w:rsid w:val="1C85079F"/>
    <w:rsid w:val="1C90180A"/>
    <w:rsid w:val="1C927629"/>
    <w:rsid w:val="1CAD0994"/>
    <w:rsid w:val="1CB900C2"/>
    <w:rsid w:val="1CBD5448"/>
    <w:rsid w:val="1CC46894"/>
    <w:rsid w:val="1CD7275A"/>
    <w:rsid w:val="1CD74895"/>
    <w:rsid w:val="1CE45852"/>
    <w:rsid w:val="1CEC1B97"/>
    <w:rsid w:val="1CED6FE2"/>
    <w:rsid w:val="1CF17AB3"/>
    <w:rsid w:val="1D091942"/>
    <w:rsid w:val="1D0B5AE9"/>
    <w:rsid w:val="1D0D1D7D"/>
    <w:rsid w:val="1D126A49"/>
    <w:rsid w:val="1D126A58"/>
    <w:rsid w:val="1D1A06F2"/>
    <w:rsid w:val="1D1A1373"/>
    <w:rsid w:val="1D274F5B"/>
    <w:rsid w:val="1D37652A"/>
    <w:rsid w:val="1D432C4F"/>
    <w:rsid w:val="1D4F19E5"/>
    <w:rsid w:val="1D540E0F"/>
    <w:rsid w:val="1D566B26"/>
    <w:rsid w:val="1D6151CC"/>
    <w:rsid w:val="1D630053"/>
    <w:rsid w:val="1D634930"/>
    <w:rsid w:val="1D765FE4"/>
    <w:rsid w:val="1D80468A"/>
    <w:rsid w:val="1D8316F5"/>
    <w:rsid w:val="1D8B05A9"/>
    <w:rsid w:val="1D9F137B"/>
    <w:rsid w:val="1DAD6772"/>
    <w:rsid w:val="1DB377EF"/>
    <w:rsid w:val="1DC419F5"/>
    <w:rsid w:val="1DC7346F"/>
    <w:rsid w:val="1DC92705"/>
    <w:rsid w:val="1DD737EE"/>
    <w:rsid w:val="1DDA5D9A"/>
    <w:rsid w:val="1DE11102"/>
    <w:rsid w:val="1DE27BDB"/>
    <w:rsid w:val="1DE974C4"/>
    <w:rsid w:val="1DF148B0"/>
    <w:rsid w:val="1DF254AD"/>
    <w:rsid w:val="1DF350AE"/>
    <w:rsid w:val="1DF443A0"/>
    <w:rsid w:val="1E005A58"/>
    <w:rsid w:val="1E0839A8"/>
    <w:rsid w:val="1E094D96"/>
    <w:rsid w:val="1E1120A4"/>
    <w:rsid w:val="1E285DF8"/>
    <w:rsid w:val="1E340C41"/>
    <w:rsid w:val="1E383347"/>
    <w:rsid w:val="1E3B3AC0"/>
    <w:rsid w:val="1E4E79B5"/>
    <w:rsid w:val="1E522B47"/>
    <w:rsid w:val="1E5B782B"/>
    <w:rsid w:val="1E5F2BD1"/>
    <w:rsid w:val="1E675DD5"/>
    <w:rsid w:val="1E692132"/>
    <w:rsid w:val="1E6970AB"/>
    <w:rsid w:val="1E7D5204"/>
    <w:rsid w:val="1E820515"/>
    <w:rsid w:val="1E8474D2"/>
    <w:rsid w:val="1E8707A4"/>
    <w:rsid w:val="1E877D62"/>
    <w:rsid w:val="1E8C45D9"/>
    <w:rsid w:val="1E97058F"/>
    <w:rsid w:val="1E9845F0"/>
    <w:rsid w:val="1E9C3513"/>
    <w:rsid w:val="1EA123D2"/>
    <w:rsid w:val="1EA652D8"/>
    <w:rsid w:val="1EAE365B"/>
    <w:rsid w:val="1EC42377"/>
    <w:rsid w:val="1ECE3386"/>
    <w:rsid w:val="1EDC6434"/>
    <w:rsid w:val="1EDD5706"/>
    <w:rsid w:val="1EDE4B19"/>
    <w:rsid w:val="1EFB4AE8"/>
    <w:rsid w:val="1F087C8D"/>
    <w:rsid w:val="1F0A3263"/>
    <w:rsid w:val="1F0E4FEE"/>
    <w:rsid w:val="1F1C6203"/>
    <w:rsid w:val="1F1D6700"/>
    <w:rsid w:val="1F1E40BD"/>
    <w:rsid w:val="1F2962CC"/>
    <w:rsid w:val="1F2D2F0F"/>
    <w:rsid w:val="1F351D05"/>
    <w:rsid w:val="1F38645C"/>
    <w:rsid w:val="1F521B19"/>
    <w:rsid w:val="1F580153"/>
    <w:rsid w:val="1F585941"/>
    <w:rsid w:val="1F5C7544"/>
    <w:rsid w:val="1F6A2B6C"/>
    <w:rsid w:val="1F6D61B8"/>
    <w:rsid w:val="1F75092B"/>
    <w:rsid w:val="1F787B80"/>
    <w:rsid w:val="1F7A6837"/>
    <w:rsid w:val="1F7F78D8"/>
    <w:rsid w:val="1F8160E3"/>
    <w:rsid w:val="1F8D49AB"/>
    <w:rsid w:val="1F9537AF"/>
    <w:rsid w:val="1FA47987"/>
    <w:rsid w:val="1FB4481B"/>
    <w:rsid w:val="1FB54152"/>
    <w:rsid w:val="1FC55C88"/>
    <w:rsid w:val="1FC7026D"/>
    <w:rsid w:val="1FC95269"/>
    <w:rsid w:val="1FCC0065"/>
    <w:rsid w:val="1FD44A36"/>
    <w:rsid w:val="1FD94168"/>
    <w:rsid w:val="1FDF55AF"/>
    <w:rsid w:val="1FEA7809"/>
    <w:rsid w:val="1FF024B9"/>
    <w:rsid w:val="1FF31F1B"/>
    <w:rsid w:val="1FFD2D1D"/>
    <w:rsid w:val="200D34F7"/>
    <w:rsid w:val="201833AF"/>
    <w:rsid w:val="20267839"/>
    <w:rsid w:val="202A22FB"/>
    <w:rsid w:val="20315438"/>
    <w:rsid w:val="203171E6"/>
    <w:rsid w:val="20360682"/>
    <w:rsid w:val="20376B81"/>
    <w:rsid w:val="203E7B55"/>
    <w:rsid w:val="204643D9"/>
    <w:rsid w:val="2046460E"/>
    <w:rsid w:val="204C4FD7"/>
    <w:rsid w:val="20556D95"/>
    <w:rsid w:val="2059673D"/>
    <w:rsid w:val="206375BB"/>
    <w:rsid w:val="2071497E"/>
    <w:rsid w:val="20783BE9"/>
    <w:rsid w:val="209A3FE7"/>
    <w:rsid w:val="209C5A92"/>
    <w:rsid w:val="209F3FEE"/>
    <w:rsid w:val="20AE0E01"/>
    <w:rsid w:val="20B00BB8"/>
    <w:rsid w:val="20B10327"/>
    <w:rsid w:val="20BB7250"/>
    <w:rsid w:val="20C35AD5"/>
    <w:rsid w:val="20C50E46"/>
    <w:rsid w:val="20DA5ACF"/>
    <w:rsid w:val="20E26732"/>
    <w:rsid w:val="20E63B02"/>
    <w:rsid w:val="20EC75B1"/>
    <w:rsid w:val="20EE50D7"/>
    <w:rsid w:val="20EF625F"/>
    <w:rsid w:val="20F93163"/>
    <w:rsid w:val="20FD2F21"/>
    <w:rsid w:val="20FD49B7"/>
    <w:rsid w:val="21031A60"/>
    <w:rsid w:val="21052421"/>
    <w:rsid w:val="210752D0"/>
    <w:rsid w:val="21112757"/>
    <w:rsid w:val="211172AA"/>
    <w:rsid w:val="211A5ECC"/>
    <w:rsid w:val="211B64FD"/>
    <w:rsid w:val="211F7986"/>
    <w:rsid w:val="2120725A"/>
    <w:rsid w:val="212448B4"/>
    <w:rsid w:val="212B00D9"/>
    <w:rsid w:val="212D1DF7"/>
    <w:rsid w:val="21332469"/>
    <w:rsid w:val="21351B04"/>
    <w:rsid w:val="213E023B"/>
    <w:rsid w:val="213E4537"/>
    <w:rsid w:val="21463165"/>
    <w:rsid w:val="21491176"/>
    <w:rsid w:val="216315B0"/>
    <w:rsid w:val="21685F55"/>
    <w:rsid w:val="217355DC"/>
    <w:rsid w:val="21751AAA"/>
    <w:rsid w:val="21846654"/>
    <w:rsid w:val="21863768"/>
    <w:rsid w:val="218B5BE8"/>
    <w:rsid w:val="21920A05"/>
    <w:rsid w:val="219312F5"/>
    <w:rsid w:val="219457EC"/>
    <w:rsid w:val="21966139"/>
    <w:rsid w:val="21A251EC"/>
    <w:rsid w:val="21BB612E"/>
    <w:rsid w:val="21D012F2"/>
    <w:rsid w:val="21D342CD"/>
    <w:rsid w:val="21D34692"/>
    <w:rsid w:val="21D57C13"/>
    <w:rsid w:val="21DB2344"/>
    <w:rsid w:val="21E03EC0"/>
    <w:rsid w:val="21EA372F"/>
    <w:rsid w:val="21EC3348"/>
    <w:rsid w:val="21F0499F"/>
    <w:rsid w:val="21FE5589"/>
    <w:rsid w:val="220E2F0F"/>
    <w:rsid w:val="22142C3C"/>
    <w:rsid w:val="221768AF"/>
    <w:rsid w:val="22182AD8"/>
    <w:rsid w:val="22230F15"/>
    <w:rsid w:val="2227690B"/>
    <w:rsid w:val="22284619"/>
    <w:rsid w:val="222A15AA"/>
    <w:rsid w:val="222A3B85"/>
    <w:rsid w:val="22327245"/>
    <w:rsid w:val="2241411D"/>
    <w:rsid w:val="22484CBB"/>
    <w:rsid w:val="224A054B"/>
    <w:rsid w:val="224D53FF"/>
    <w:rsid w:val="224D689D"/>
    <w:rsid w:val="225141ED"/>
    <w:rsid w:val="225C1184"/>
    <w:rsid w:val="225D5AFD"/>
    <w:rsid w:val="226142C1"/>
    <w:rsid w:val="2265761B"/>
    <w:rsid w:val="2281167B"/>
    <w:rsid w:val="22846459"/>
    <w:rsid w:val="22876FC7"/>
    <w:rsid w:val="22883FFD"/>
    <w:rsid w:val="22943A5C"/>
    <w:rsid w:val="22952DE9"/>
    <w:rsid w:val="229741AE"/>
    <w:rsid w:val="22AB3A0B"/>
    <w:rsid w:val="22AC27F1"/>
    <w:rsid w:val="22AC524A"/>
    <w:rsid w:val="22B03497"/>
    <w:rsid w:val="22C252A7"/>
    <w:rsid w:val="22C87961"/>
    <w:rsid w:val="22CB32A2"/>
    <w:rsid w:val="22D95913"/>
    <w:rsid w:val="22DC043E"/>
    <w:rsid w:val="22DE4394"/>
    <w:rsid w:val="22E201F3"/>
    <w:rsid w:val="22E5250A"/>
    <w:rsid w:val="22F14AAA"/>
    <w:rsid w:val="22FA3BBC"/>
    <w:rsid w:val="23041DE2"/>
    <w:rsid w:val="2307429F"/>
    <w:rsid w:val="230E7CB2"/>
    <w:rsid w:val="2316035F"/>
    <w:rsid w:val="231828DF"/>
    <w:rsid w:val="231B417D"/>
    <w:rsid w:val="2332179F"/>
    <w:rsid w:val="233C76AA"/>
    <w:rsid w:val="23400B94"/>
    <w:rsid w:val="234415A3"/>
    <w:rsid w:val="234F5BD5"/>
    <w:rsid w:val="23542AB3"/>
    <w:rsid w:val="23584F06"/>
    <w:rsid w:val="23692A56"/>
    <w:rsid w:val="236B2926"/>
    <w:rsid w:val="2370439D"/>
    <w:rsid w:val="23732D21"/>
    <w:rsid w:val="23741209"/>
    <w:rsid w:val="23772A7C"/>
    <w:rsid w:val="237E3B0E"/>
    <w:rsid w:val="23841D23"/>
    <w:rsid w:val="23863CED"/>
    <w:rsid w:val="238B4E5F"/>
    <w:rsid w:val="238D0EC0"/>
    <w:rsid w:val="238F36DC"/>
    <w:rsid w:val="23904DF6"/>
    <w:rsid w:val="2394376D"/>
    <w:rsid w:val="23A64400"/>
    <w:rsid w:val="23C5235F"/>
    <w:rsid w:val="23E30694"/>
    <w:rsid w:val="23EF1510"/>
    <w:rsid w:val="23F84F36"/>
    <w:rsid w:val="23FE0B14"/>
    <w:rsid w:val="24094D7A"/>
    <w:rsid w:val="240E783E"/>
    <w:rsid w:val="24164298"/>
    <w:rsid w:val="241C21F7"/>
    <w:rsid w:val="242552B4"/>
    <w:rsid w:val="242B4894"/>
    <w:rsid w:val="24303C58"/>
    <w:rsid w:val="24313460"/>
    <w:rsid w:val="243434E7"/>
    <w:rsid w:val="24427971"/>
    <w:rsid w:val="244473D8"/>
    <w:rsid w:val="24450779"/>
    <w:rsid w:val="24472456"/>
    <w:rsid w:val="244903E2"/>
    <w:rsid w:val="244B212A"/>
    <w:rsid w:val="244B2840"/>
    <w:rsid w:val="2457463A"/>
    <w:rsid w:val="24582C6C"/>
    <w:rsid w:val="245876B9"/>
    <w:rsid w:val="245A195E"/>
    <w:rsid w:val="245E4510"/>
    <w:rsid w:val="246102B6"/>
    <w:rsid w:val="2467370D"/>
    <w:rsid w:val="24681644"/>
    <w:rsid w:val="246F29D3"/>
    <w:rsid w:val="246F5679"/>
    <w:rsid w:val="24746E9C"/>
    <w:rsid w:val="2484281D"/>
    <w:rsid w:val="248950D5"/>
    <w:rsid w:val="248E73BE"/>
    <w:rsid w:val="249E68F7"/>
    <w:rsid w:val="24A03062"/>
    <w:rsid w:val="24B178D7"/>
    <w:rsid w:val="24B65F0C"/>
    <w:rsid w:val="24B753BD"/>
    <w:rsid w:val="24CC4DE5"/>
    <w:rsid w:val="24CE10C3"/>
    <w:rsid w:val="24DE66B3"/>
    <w:rsid w:val="24E75281"/>
    <w:rsid w:val="24F34B95"/>
    <w:rsid w:val="24F62B65"/>
    <w:rsid w:val="24FE4125"/>
    <w:rsid w:val="250734D4"/>
    <w:rsid w:val="250F1AC0"/>
    <w:rsid w:val="251A30C2"/>
    <w:rsid w:val="25236488"/>
    <w:rsid w:val="2532799E"/>
    <w:rsid w:val="25371B52"/>
    <w:rsid w:val="2541095C"/>
    <w:rsid w:val="25411D78"/>
    <w:rsid w:val="25425D52"/>
    <w:rsid w:val="25454984"/>
    <w:rsid w:val="254754AD"/>
    <w:rsid w:val="254A456A"/>
    <w:rsid w:val="254B640F"/>
    <w:rsid w:val="25581477"/>
    <w:rsid w:val="25781413"/>
    <w:rsid w:val="25783303"/>
    <w:rsid w:val="25847223"/>
    <w:rsid w:val="25851BD3"/>
    <w:rsid w:val="258B4548"/>
    <w:rsid w:val="258E141D"/>
    <w:rsid w:val="2590217B"/>
    <w:rsid w:val="25943389"/>
    <w:rsid w:val="259A7EDE"/>
    <w:rsid w:val="259A7F19"/>
    <w:rsid w:val="25B508B9"/>
    <w:rsid w:val="25B763DF"/>
    <w:rsid w:val="25BF3725"/>
    <w:rsid w:val="25C80EDD"/>
    <w:rsid w:val="25CA29E7"/>
    <w:rsid w:val="25CD4AFE"/>
    <w:rsid w:val="25D32D3D"/>
    <w:rsid w:val="25D43269"/>
    <w:rsid w:val="25DA1352"/>
    <w:rsid w:val="25DF63B1"/>
    <w:rsid w:val="25ED700E"/>
    <w:rsid w:val="25F5625D"/>
    <w:rsid w:val="2606297D"/>
    <w:rsid w:val="26062EC3"/>
    <w:rsid w:val="260B7611"/>
    <w:rsid w:val="2611348F"/>
    <w:rsid w:val="26117E7B"/>
    <w:rsid w:val="262178E5"/>
    <w:rsid w:val="2629044E"/>
    <w:rsid w:val="262B30D0"/>
    <w:rsid w:val="26306192"/>
    <w:rsid w:val="263F0183"/>
    <w:rsid w:val="264D0A80"/>
    <w:rsid w:val="26515B64"/>
    <w:rsid w:val="265240EE"/>
    <w:rsid w:val="26527EB6"/>
    <w:rsid w:val="265733F6"/>
    <w:rsid w:val="265A5A3D"/>
    <w:rsid w:val="265B650A"/>
    <w:rsid w:val="265E2FE9"/>
    <w:rsid w:val="2663107A"/>
    <w:rsid w:val="266911E2"/>
    <w:rsid w:val="266A7F1C"/>
    <w:rsid w:val="266C1EC4"/>
    <w:rsid w:val="266C5EFB"/>
    <w:rsid w:val="266D6A9E"/>
    <w:rsid w:val="26706E20"/>
    <w:rsid w:val="267D7C3E"/>
    <w:rsid w:val="26864492"/>
    <w:rsid w:val="268D6170"/>
    <w:rsid w:val="268D7140"/>
    <w:rsid w:val="268E321D"/>
    <w:rsid w:val="26932956"/>
    <w:rsid w:val="26934BF1"/>
    <w:rsid w:val="26980728"/>
    <w:rsid w:val="26983C42"/>
    <w:rsid w:val="269E1806"/>
    <w:rsid w:val="269E6530"/>
    <w:rsid w:val="26A00BFC"/>
    <w:rsid w:val="26A10EFD"/>
    <w:rsid w:val="26A1702B"/>
    <w:rsid w:val="26A56238"/>
    <w:rsid w:val="26AC4CF2"/>
    <w:rsid w:val="26B5676D"/>
    <w:rsid w:val="26DD473B"/>
    <w:rsid w:val="26DE546A"/>
    <w:rsid w:val="26E06E67"/>
    <w:rsid w:val="26E25C3A"/>
    <w:rsid w:val="26E31E2D"/>
    <w:rsid w:val="26E409BD"/>
    <w:rsid w:val="26E50C5D"/>
    <w:rsid w:val="26F94BA3"/>
    <w:rsid w:val="27054F28"/>
    <w:rsid w:val="27074A19"/>
    <w:rsid w:val="271572C7"/>
    <w:rsid w:val="271E7B57"/>
    <w:rsid w:val="272A110D"/>
    <w:rsid w:val="27321A96"/>
    <w:rsid w:val="27455463"/>
    <w:rsid w:val="274707CB"/>
    <w:rsid w:val="274A2B0D"/>
    <w:rsid w:val="274B3CAA"/>
    <w:rsid w:val="27541A0C"/>
    <w:rsid w:val="27552D03"/>
    <w:rsid w:val="275763AD"/>
    <w:rsid w:val="27622460"/>
    <w:rsid w:val="27632554"/>
    <w:rsid w:val="27677991"/>
    <w:rsid w:val="276A793C"/>
    <w:rsid w:val="276C502C"/>
    <w:rsid w:val="27812FE1"/>
    <w:rsid w:val="278559EE"/>
    <w:rsid w:val="2786250D"/>
    <w:rsid w:val="2786484F"/>
    <w:rsid w:val="27870033"/>
    <w:rsid w:val="278B5B55"/>
    <w:rsid w:val="278C42F2"/>
    <w:rsid w:val="278F7F47"/>
    <w:rsid w:val="27925310"/>
    <w:rsid w:val="27925A1E"/>
    <w:rsid w:val="279664C8"/>
    <w:rsid w:val="2797719B"/>
    <w:rsid w:val="279B4D92"/>
    <w:rsid w:val="27AC3758"/>
    <w:rsid w:val="27AE4D70"/>
    <w:rsid w:val="27B011D7"/>
    <w:rsid w:val="27B253AF"/>
    <w:rsid w:val="27C6290A"/>
    <w:rsid w:val="27C941A8"/>
    <w:rsid w:val="27CB6172"/>
    <w:rsid w:val="27CD5056"/>
    <w:rsid w:val="27D0129C"/>
    <w:rsid w:val="27D112AE"/>
    <w:rsid w:val="27D8621C"/>
    <w:rsid w:val="27DB6F76"/>
    <w:rsid w:val="27E40FE2"/>
    <w:rsid w:val="27E512EC"/>
    <w:rsid w:val="27E64F27"/>
    <w:rsid w:val="27E90FA6"/>
    <w:rsid w:val="27F84A8D"/>
    <w:rsid w:val="27F912B9"/>
    <w:rsid w:val="27F9488B"/>
    <w:rsid w:val="27FE623F"/>
    <w:rsid w:val="280D5870"/>
    <w:rsid w:val="28125B4F"/>
    <w:rsid w:val="281401A9"/>
    <w:rsid w:val="281A6DE6"/>
    <w:rsid w:val="28223A7D"/>
    <w:rsid w:val="28277120"/>
    <w:rsid w:val="282C0CC4"/>
    <w:rsid w:val="2833676A"/>
    <w:rsid w:val="284B0E9E"/>
    <w:rsid w:val="285E0D94"/>
    <w:rsid w:val="286D43E2"/>
    <w:rsid w:val="287B529C"/>
    <w:rsid w:val="287F6B1B"/>
    <w:rsid w:val="288358DB"/>
    <w:rsid w:val="28880D18"/>
    <w:rsid w:val="28925906"/>
    <w:rsid w:val="28952684"/>
    <w:rsid w:val="289615C3"/>
    <w:rsid w:val="2897329C"/>
    <w:rsid w:val="28A53C86"/>
    <w:rsid w:val="28C25A4B"/>
    <w:rsid w:val="28C51274"/>
    <w:rsid w:val="28C52679"/>
    <w:rsid w:val="28CD1A76"/>
    <w:rsid w:val="28CF51C1"/>
    <w:rsid w:val="28EE2ACB"/>
    <w:rsid w:val="28F435B5"/>
    <w:rsid w:val="28F54A0B"/>
    <w:rsid w:val="28FE67AC"/>
    <w:rsid w:val="2900261F"/>
    <w:rsid w:val="290D2324"/>
    <w:rsid w:val="290D26F6"/>
    <w:rsid w:val="290D38D2"/>
    <w:rsid w:val="29145BA2"/>
    <w:rsid w:val="2916341D"/>
    <w:rsid w:val="29176AF3"/>
    <w:rsid w:val="293F112D"/>
    <w:rsid w:val="29490DB0"/>
    <w:rsid w:val="294D1FF0"/>
    <w:rsid w:val="29552E92"/>
    <w:rsid w:val="296A5517"/>
    <w:rsid w:val="297939AC"/>
    <w:rsid w:val="298578A9"/>
    <w:rsid w:val="29862B06"/>
    <w:rsid w:val="298A5574"/>
    <w:rsid w:val="29932FF0"/>
    <w:rsid w:val="29AB5641"/>
    <w:rsid w:val="29AD788C"/>
    <w:rsid w:val="29B144AC"/>
    <w:rsid w:val="29B40A60"/>
    <w:rsid w:val="29B80804"/>
    <w:rsid w:val="29BD1AEA"/>
    <w:rsid w:val="29C514FC"/>
    <w:rsid w:val="29CE0949"/>
    <w:rsid w:val="29D10AB6"/>
    <w:rsid w:val="29D2515D"/>
    <w:rsid w:val="29D55086"/>
    <w:rsid w:val="29DB6F1A"/>
    <w:rsid w:val="29F179E6"/>
    <w:rsid w:val="29F2224C"/>
    <w:rsid w:val="29F44438"/>
    <w:rsid w:val="29F51284"/>
    <w:rsid w:val="2A0442FE"/>
    <w:rsid w:val="2A047719"/>
    <w:rsid w:val="2A050A46"/>
    <w:rsid w:val="2A0A024B"/>
    <w:rsid w:val="2A1536D4"/>
    <w:rsid w:val="2A1C2095"/>
    <w:rsid w:val="2A382C12"/>
    <w:rsid w:val="2A460739"/>
    <w:rsid w:val="2A48159F"/>
    <w:rsid w:val="2A4D1923"/>
    <w:rsid w:val="2A594919"/>
    <w:rsid w:val="2A6542FF"/>
    <w:rsid w:val="2A7F1496"/>
    <w:rsid w:val="2A824904"/>
    <w:rsid w:val="2A9233E0"/>
    <w:rsid w:val="2A954FC9"/>
    <w:rsid w:val="2A9A3E9C"/>
    <w:rsid w:val="2A9C1ED1"/>
    <w:rsid w:val="2AA22E57"/>
    <w:rsid w:val="2AAE0339"/>
    <w:rsid w:val="2AB05D25"/>
    <w:rsid w:val="2AB32EED"/>
    <w:rsid w:val="2ABA5B52"/>
    <w:rsid w:val="2ABC18E5"/>
    <w:rsid w:val="2AC33130"/>
    <w:rsid w:val="2AC86999"/>
    <w:rsid w:val="2ACE3E03"/>
    <w:rsid w:val="2AE0119A"/>
    <w:rsid w:val="2AED3506"/>
    <w:rsid w:val="2AF4778E"/>
    <w:rsid w:val="2AF53506"/>
    <w:rsid w:val="2AF54269"/>
    <w:rsid w:val="2B083239"/>
    <w:rsid w:val="2B08765C"/>
    <w:rsid w:val="2B0F281A"/>
    <w:rsid w:val="2B0F4E28"/>
    <w:rsid w:val="2B1170AC"/>
    <w:rsid w:val="2B120361"/>
    <w:rsid w:val="2B134756"/>
    <w:rsid w:val="2B193698"/>
    <w:rsid w:val="2B2160A9"/>
    <w:rsid w:val="2B2C517A"/>
    <w:rsid w:val="2B3202B6"/>
    <w:rsid w:val="2B32340F"/>
    <w:rsid w:val="2B3256D8"/>
    <w:rsid w:val="2B3627D2"/>
    <w:rsid w:val="2B395AE8"/>
    <w:rsid w:val="2B3A2F1D"/>
    <w:rsid w:val="2B3C3BCA"/>
    <w:rsid w:val="2B410F12"/>
    <w:rsid w:val="2B474E1B"/>
    <w:rsid w:val="2B58475D"/>
    <w:rsid w:val="2B5A78FB"/>
    <w:rsid w:val="2B5D17D7"/>
    <w:rsid w:val="2B60606F"/>
    <w:rsid w:val="2B6264D8"/>
    <w:rsid w:val="2B683150"/>
    <w:rsid w:val="2B732DA8"/>
    <w:rsid w:val="2B771963"/>
    <w:rsid w:val="2B7B510E"/>
    <w:rsid w:val="2B7C6D8D"/>
    <w:rsid w:val="2B81160C"/>
    <w:rsid w:val="2B8121A1"/>
    <w:rsid w:val="2B8A6344"/>
    <w:rsid w:val="2B8D193F"/>
    <w:rsid w:val="2B8E45D7"/>
    <w:rsid w:val="2B914153"/>
    <w:rsid w:val="2B9F687E"/>
    <w:rsid w:val="2BA618C3"/>
    <w:rsid w:val="2BB313F7"/>
    <w:rsid w:val="2BB34BC7"/>
    <w:rsid w:val="2BB9699E"/>
    <w:rsid w:val="2BC15C38"/>
    <w:rsid w:val="2BC84CB7"/>
    <w:rsid w:val="2BCC6384"/>
    <w:rsid w:val="2BD90B16"/>
    <w:rsid w:val="2BE041B6"/>
    <w:rsid w:val="2BE246E1"/>
    <w:rsid w:val="2BE72299"/>
    <w:rsid w:val="2BF1525C"/>
    <w:rsid w:val="2BF94317"/>
    <w:rsid w:val="2BFB5A04"/>
    <w:rsid w:val="2BFD19B1"/>
    <w:rsid w:val="2C0B0FF7"/>
    <w:rsid w:val="2C2663C8"/>
    <w:rsid w:val="2C2E1E9E"/>
    <w:rsid w:val="2C31056E"/>
    <w:rsid w:val="2C3320BC"/>
    <w:rsid w:val="2C363DD6"/>
    <w:rsid w:val="2C3A1B18"/>
    <w:rsid w:val="2C452791"/>
    <w:rsid w:val="2C4B785E"/>
    <w:rsid w:val="2C4C35F9"/>
    <w:rsid w:val="2C4E6685"/>
    <w:rsid w:val="2C55371C"/>
    <w:rsid w:val="2C5A42B6"/>
    <w:rsid w:val="2C7422AF"/>
    <w:rsid w:val="2C753051"/>
    <w:rsid w:val="2C77062D"/>
    <w:rsid w:val="2C7D28EF"/>
    <w:rsid w:val="2C7D7E81"/>
    <w:rsid w:val="2C8156C5"/>
    <w:rsid w:val="2C825FF2"/>
    <w:rsid w:val="2C8C2B3B"/>
    <w:rsid w:val="2C8F01C5"/>
    <w:rsid w:val="2C92106A"/>
    <w:rsid w:val="2C9352FA"/>
    <w:rsid w:val="2C9467E4"/>
    <w:rsid w:val="2C994A91"/>
    <w:rsid w:val="2C9E1927"/>
    <w:rsid w:val="2CA5056A"/>
    <w:rsid w:val="2CA70830"/>
    <w:rsid w:val="2CAA34BC"/>
    <w:rsid w:val="2CAD3CFE"/>
    <w:rsid w:val="2CC359F2"/>
    <w:rsid w:val="2CC971AD"/>
    <w:rsid w:val="2CD54EA3"/>
    <w:rsid w:val="2CD936E3"/>
    <w:rsid w:val="2CE214E3"/>
    <w:rsid w:val="2CE44D7A"/>
    <w:rsid w:val="2CE874A1"/>
    <w:rsid w:val="2CEB4BC0"/>
    <w:rsid w:val="2CEC26FC"/>
    <w:rsid w:val="2CF04195"/>
    <w:rsid w:val="2CF27DE3"/>
    <w:rsid w:val="2CF41CC7"/>
    <w:rsid w:val="2CFA3055"/>
    <w:rsid w:val="2D0106DD"/>
    <w:rsid w:val="2D183D30"/>
    <w:rsid w:val="2D242266"/>
    <w:rsid w:val="2D247EFA"/>
    <w:rsid w:val="2D2A393B"/>
    <w:rsid w:val="2D3C65CE"/>
    <w:rsid w:val="2D5704A8"/>
    <w:rsid w:val="2D672EFF"/>
    <w:rsid w:val="2D737645"/>
    <w:rsid w:val="2D794EF8"/>
    <w:rsid w:val="2D7D4DBA"/>
    <w:rsid w:val="2D856DC3"/>
    <w:rsid w:val="2D8E46D2"/>
    <w:rsid w:val="2D952D88"/>
    <w:rsid w:val="2D9B0395"/>
    <w:rsid w:val="2DA4527D"/>
    <w:rsid w:val="2DC061D9"/>
    <w:rsid w:val="2DD56F1C"/>
    <w:rsid w:val="2DDE7957"/>
    <w:rsid w:val="2DE53F0C"/>
    <w:rsid w:val="2DE955A4"/>
    <w:rsid w:val="2DEF5ACB"/>
    <w:rsid w:val="2DF20FCB"/>
    <w:rsid w:val="2DF360AE"/>
    <w:rsid w:val="2DF43EAD"/>
    <w:rsid w:val="2DFD5E3E"/>
    <w:rsid w:val="2E0221C2"/>
    <w:rsid w:val="2E114AFB"/>
    <w:rsid w:val="2E181026"/>
    <w:rsid w:val="2E1C279B"/>
    <w:rsid w:val="2E215B59"/>
    <w:rsid w:val="2E222803"/>
    <w:rsid w:val="2E233D6C"/>
    <w:rsid w:val="2E254E29"/>
    <w:rsid w:val="2E2904F4"/>
    <w:rsid w:val="2E2A46D3"/>
    <w:rsid w:val="2E465347"/>
    <w:rsid w:val="2E4B512B"/>
    <w:rsid w:val="2E6D64B0"/>
    <w:rsid w:val="2E731311"/>
    <w:rsid w:val="2E7326B2"/>
    <w:rsid w:val="2E737D03"/>
    <w:rsid w:val="2E766341"/>
    <w:rsid w:val="2E827552"/>
    <w:rsid w:val="2E975000"/>
    <w:rsid w:val="2EA17C2D"/>
    <w:rsid w:val="2EB21E3A"/>
    <w:rsid w:val="2EB76C68"/>
    <w:rsid w:val="2EB80D98"/>
    <w:rsid w:val="2EC03879"/>
    <w:rsid w:val="2EC06536"/>
    <w:rsid w:val="2EC4391B"/>
    <w:rsid w:val="2EC91C39"/>
    <w:rsid w:val="2ED022C0"/>
    <w:rsid w:val="2EDE3D4C"/>
    <w:rsid w:val="2EF671FE"/>
    <w:rsid w:val="2EF73255"/>
    <w:rsid w:val="2F0C550E"/>
    <w:rsid w:val="2F113866"/>
    <w:rsid w:val="2F172F34"/>
    <w:rsid w:val="2F1776FE"/>
    <w:rsid w:val="2F177EEF"/>
    <w:rsid w:val="2F216D0F"/>
    <w:rsid w:val="2F26143F"/>
    <w:rsid w:val="2F3276C7"/>
    <w:rsid w:val="2F336F52"/>
    <w:rsid w:val="2F364984"/>
    <w:rsid w:val="2F395E3D"/>
    <w:rsid w:val="2F493007"/>
    <w:rsid w:val="2F542EF1"/>
    <w:rsid w:val="2F551AAD"/>
    <w:rsid w:val="2F6740EB"/>
    <w:rsid w:val="2F7215C9"/>
    <w:rsid w:val="2F72338E"/>
    <w:rsid w:val="2F737600"/>
    <w:rsid w:val="2F805A94"/>
    <w:rsid w:val="2F8B4A44"/>
    <w:rsid w:val="2FA06136"/>
    <w:rsid w:val="2FA23E95"/>
    <w:rsid w:val="2FA46CBE"/>
    <w:rsid w:val="2FA651F3"/>
    <w:rsid w:val="2FA8676C"/>
    <w:rsid w:val="2FAB0A48"/>
    <w:rsid w:val="2FAD0F35"/>
    <w:rsid w:val="2FBC45F2"/>
    <w:rsid w:val="2FBE480E"/>
    <w:rsid w:val="2FC04B40"/>
    <w:rsid w:val="2FCB21D3"/>
    <w:rsid w:val="2FD858D0"/>
    <w:rsid w:val="2FE102C7"/>
    <w:rsid w:val="2FE46A5B"/>
    <w:rsid w:val="2FED1391"/>
    <w:rsid w:val="2FEF7E3D"/>
    <w:rsid w:val="2FF70277"/>
    <w:rsid w:val="2FFF313F"/>
    <w:rsid w:val="30074494"/>
    <w:rsid w:val="301023BC"/>
    <w:rsid w:val="30124C6C"/>
    <w:rsid w:val="30154BB1"/>
    <w:rsid w:val="301A027B"/>
    <w:rsid w:val="3025663B"/>
    <w:rsid w:val="30256C83"/>
    <w:rsid w:val="30354AD0"/>
    <w:rsid w:val="30360C34"/>
    <w:rsid w:val="304308C8"/>
    <w:rsid w:val="30570F54"/>
    <w:rsid w:val="305B18F8"/>
    <w:rsid w:val="305D3A22"/>
    <w:rsid w:val="305E5869"/>
    <w:rsid w:val="30617123"/>
    <w:rsid w:val="3079528D"/>
    <w:rsid w:val="308105B5"/>
    <w:rsid w:val="3081565F"/>
    <w:rsid w:val="308C7191"/>
    <w:rsid w:val="308E7A49"/>
    <w:rsid w:val="30914D61"/>
    <w:rsid w:val="30921E98"/>
    <w:rsid w:val="30AC4667"/>
    <w:rsid w:val="30B22105"/>
    <w:rsid w:val="30B828AF"/>
    <w:rsid w:val="30BC0D4E"/>
    <w:rsid w:val="30CC2470"/>
    <w:rsid w:val="30D21F19"/>
    <w:rsid w:val="30E253EF"/>
    <w:rsid w:val="30E33E31"/>
    <w:rsid w:val="30E3415F"/>
    <w:rsid w:val="30E6401D"/>
    <w:rsid w:val="30E94F09"/>
    <w:rsid w:val="30EA448D"/>
    <w:rsid w:val="30EF62EF"/>
    <w:rsid w:val="30F6736F"/>
    <w:rsid w:val="30FA2678"/>
    <w:rsid w:val="30FD1841"/>
    <w:rsid w:val="31077AEF"/>
    <w:rsid w:val="310D77FB"/>
    <w:rsid w:val="31117149"/>
    <w:rsid w:val="31194688"/>
    <w:rsid w:val="311B69AF"/>
    <w:rsid w:val="31293F09"/>
    <w:rsid w:val="31303F5F"/>
    <w:rsid w:val="31305E74"/>
    <w:rsid w:val="3132289E"/>
    <w:rsid w:val="313309EF"/>
    <w:rsid w:val="3136355C"/>
    <w:rsid w:val="313C3F25"/>
    <w:rsid w:val="31406188"/>
    <w:rsid w:val="314F750B"/>
    <w:rsid w:val="3152681E"/>
    <w:rsid w:val="3161208A"/>
    <w:rsid w:val="31650395"/>
    <w:rsid w:val="316D787B"/>
    <w:rsid w:val="31727460"/>
    <w:rsid w:val="3172765E"/>
    <w:rsid w:val="31891D25"/>
    <w:rsid w:val="318A2BFA"/>
    <w:rsid w:val="318C0AB5"/>
    <w:rsid w:val="3190758B"/>
    <w:rsid w:val="319E3BAC"/>
    <w:rsid w:val="319E7508"/>
    <w:rsid w:val="319F3E89"/>
    <w:rsid w:val="31A16183"/>
    <w:rsid w:val="31A75229"/>
    <w:rsid w:val="31AA39C7"/>
    <w:rsid w:val="31B81D3C"/>
    <w:rsid w:val="31BC09B4"/>
    <w:rsid w:val="31BF26B8"/>
    <w:rsid w:val="31C1333B"/>
    <w:rsid w:val="31C8654E"/>
    <w:rsid w:val="31CA5A44"/>
    <w:rsid w:val="31D04B33"/>
    <w:rsid w:val="31DB3455"/>
    <w:rsid w:val="31DF6233"/>
    <w:rsid w:val="31E135CC"/>
    <w:rsid w:val="31F626DB"/>
    <w:rsid w:val="31FE219E"/>
    <w:rsid w:val="32004C6A"/>
    <w:rsid w:val="32011C9C"/>
    <w:rsid w:val="32024E86"/>
    <w:rsid w:val="32154306"/>
    <w:rsid w:val="3216623C"/>
    <w:rsid w:val="3217518D"/>
    <w:rsid w:val="321C72B3"/>
    <w:rsid w:val="321E639F"/>
    <w:rsid w:val="32202386"/>
    <w:rsid w:val="32331EB4"/>
    <w:rsid w:val="323639E6"/>
    <w:rsid w:val="32375EE9"/>
    <w:rsid w:val="323A739B"/>
    <w:rsid w:val="323F4BEE"/>
    <w:rsid w:val="324B220A"/>
    <w:rsid w:val="325113BA"/>
    <w:rsid w:val="325E1D0B"/>
    <w:rsid w:val="325F4087"/>
    <w:rsid w:val="32650F71"/>
    <w:rsid w:val="32785148"/>
    <w:rsid w:val="32796812"/>
    <w:rsid w:val="327D59FB"/>
    <w:rsid w:val="327D62BB"/>
    <w:rsid w:val="327F0285"/>
    <w:rsid w:val="32804FA0"/>
    <w:rsid w:val="3281556A"/>
    <w:rsid w:val="328A7A70"/>
    <w:rsid w:val="32943604"/>
    <w:rsid w:val="32A064FB"/>
    <w:rsid w:val="32A561C8"/>
    <w:rsid w:val="32B0393A"/>
    <w:rsid w:val="32B21B2F"/>
    <w:rsid w:val="32B36D7C"/>
    <w:rsid w:val="32B55A55"/>
    <w:rsid w:val="32BE2709"/>
    <w:rsid w:val="32CA2E9E"/>
    <w:rsid w:val="32D06D32"/>
    <w:rsid w:val="32D27580"/>
    <w:rsid w:val="32D43E3A"/>
    <w:rsid w:val="32D5183A"/>
    <w:rsid w:val="32D85EA1"/>
    <w:rsid w:val="32DF07B6"/>
    <w:rsid w:val="32F0218F"/>
    <w:rsid w:val="33024B8D"/>
    <w:rsid w:val="330561A6"/>
    <w:rsid w:val="33084307"/>
    <w:rsid w:val="330864CC"/>
    <w:rsid w:val="330B22E3"/>
    <w:rsid w:val="33162D4E"/>
    <w:rsid w:val="33182487"/>
    <w:rsid w:val="33185FE3"/>
    <w:rsid w:val="33323549"/>
    <w:rsid w:val="33460DA3"/>
    <w:rsid w:val="334B460B"/>
    <w:rsid w:val="33574206"/>
    <w:rsid w:val="33672EF1"/>
    <w:rsid w:val="337111D0"/>
    <w:rsid w:val="337B5998"/>
    <w:rsid w:val="337C47C4"/>
    <w:rsid w:val="337D5EB4"/>
    <w:rsid w:val="33822488"/>
    <w:rsid w:val="33825FA4"/>
    <w:rsid w:val="33833746"/>
    <w:rsid w:val="3385425A"/>
    <w:rsid w:val="338A56D7"/>
    <w:rsid w:val="33986285"/>
    <w:rsid w:val="33A567C9"/>
    <w:rsid w:val="33A663C1"/>
    <w:rsid w:val="33A67033"/>
    <w:rsid w:val="33A97DD7"/>
    <w:rsid w:val="33B7457A"/>
    <w:rsid w:val="33BA33C7"/>
    <w:rsid w:val="33BB1E31"/>
    <w:rsid w:val="33BB60DF"/>
    <w:rsid w:val="33C148CD"/>
    <w:rsid w:val="33C33887"/>
    <w:rsid w:val="33C356FF"/>
    <w:rsid w:val="33CF0D98"/>
    <w:rsid w:val="33D12DEC"/>
    <w:rsid w:val="33D40442"/>
    <w:rsid w:val="33DB54F7"/>
    <w:rsid w:val="33EA7980"/>
    <w:rsid w:val="33F0696D"/>
    <w:rsid w:val="33F87C0D"/>
    <w:rsid w:val="3400211F"/>
    <w:rsid w:val="34023726"/>
    <w:rsid w:val="34030A42"/>
    <w:rsid w:val="340F5D5B"/>
    <w:rsid w:val="340F73E6"/>
    <w:rsid w:val="342169AA"/>
    <w:rsid w:val="342C2C63"/>
    <w:rsid w:val="343155AF"/>
    <w:rsid w:val="343A7B15"/>
    <w:rsid w:val="344715EE"/>
    <w:rsid w:val="344C4FEE"/>
    <w:rsid w:val="344E6D81"/>
    <w:rsid w:val="34520387"/>
    <w:rsid w:val="345B51FF"/>
    <w:rsid w:val="345D2848"/>
    <w:rsid w:val="34757777"/>
    <w:rsid w:val="347B0F32"/>
    <w:rsid w:val="347C37BB"/>
    <w:rsid w:val="34827283"/>
    <w:rsid w:val="348C0A37"/>
    <w:rsid w:val="3490711A"/>
    <w:rsid w:val="3491429F"/>
    <w:rsid w:val="349350D9"/>
    <w:rsid w:val="34963664"/>
    <w:rsid w:val="3499266D"/>
    <w:rsid w:val="34A165CC"/>
    <w:rsid w:val="34B16203"/>
    <w:rsid w:val="34B90C12"/>
    <w:rsid w:val="34BB146C"/>
    <w:rsid w:val="34C06B94"/>
    <w:rsid w:val="34C42E76"/>
    <w:rsid w:val="34CB44C8"/>
    <w:rsid w:val="34D45526"/>
    <w:rsid w:val="34D80120"/>
    <w:rsid w:val="34DA2EBF"/>
    <w:rsid w:val="34DF078D"/>
    <w:rsid w:val="34E02B31"/>
    <w:rsid w:val="34E11BE5"/>
    <w:rsid w:val="34EA3E2E"/>
    <w:rsid w:val="34EA44EF"/>
    <w:rsid w:val="34ED7880"/>
    <w:rsid w:val="34EE68A2"/>
    <w:rsid w:val="34F46EA6"/>
    <w:rsid w:val="34F70A80"/>
    <w:rsid w:val="34F767F8"/>
    <w:rsid w:val="34F858EE"/>
    <w:rsid w:val="34FC513F"/>
    <w:rsid w:val="35005F07"/>
    <w:rsid w:val="350418CC"/>
    <w:rsid w:val="35085466"/>
    <w:rsid w:val="35102DBF"/>
    <w:rsid w:val="3511718E"/>
    <w:rsid w:val="351378AA"/>
    <w:rsid w:val="35193A0D"/>
    <w:rsid w:val="35345733"/>
    <w:rsid w:val="3536285A"/>
    <w:rsid w:val="35413216"/>
    <w:rsid w:val="3549221C"/>
    <w:rsid w:val="354A3B3D"/>
    <w:rsid w:val="354F207F"/>
    <w:rsid w:val="355D3910"/>
    <w:rsid w:val="355E378D"/>
    <w:rsid w:val="35600733"/>
    <w:rsid w:val="35627EE0"/>
    <w:rsid w:val="356F3D90"/>
    <w:rsid w:val="357228AB"/>
    <w:rsid w:val="35751D00"/>
    <w:rsid w:val="357C2DD1"/>
    <w:rsid w:val="35814314"/>
    <w:rsid w:val="35817175"/>
    <w:rsid w:val="35971FF1"/>
    <w:rsid w:val="35A44C55"/>
    <w:rsid w:val="35A869E3"/>
    <w:rsid w:val="35B05CE1"/>
    <w:rsid w:val="35B93AAE"/>
    <w:rsid w:val="35BC534C"/>
    <w:rsid w:val="35C04A09"/>
    <w:rsid w:val="35C223B4"/>
    <w:rsid w:val="35CA5CBB"/>
    <w:rsid w:val="35CC7724"/>
    <w:rsid w:val="35D63190"/>
    <w:rsid w:val="35D902A0"/>
    <w:rsid w:val="35DE019D"/>
    <w:rsid w:val="35F008AA"/>
    <w:rsid w:val="35F5773D"/>
    <w:rsid w:val="3604565E"/>
    <w:rsid w:val="360A6FFD"/>
    <w:rsid w:val="360B4679"/>
    <w:rsid w:val="360C3C6B"/>
    <w:rsid w:val="360F562D"/>
    <w:rsid w:val="36100C88"/>
    <w:rsid w:val="361C4AE9"/>
    <w:rsid w:val="362D2BED"/>
    <w:rsid w:val="3636773F"/>
    <w:rsid w:val="36402117"/>
    <w:rsid w:val="36567379"/>
    <w:rsid w:val="36600390"/>
    <w:rsid w:val="36614060"/>
    <w:rsid w:val="36637472"/>
    <w:rsid w:val="366C6B83"/>
    <w:rsid w:val="367479D5"/>
    <w:rsid w:val="36803624"/>
    <w:rsid w:val="3684230E"/>
    <w:rsid w:val="36853990"/>
    <w:rsid w:val="3685607C"/>
    <w:rsid w:val="36880B0C"/>
    <w:rsid w:val="369260AD"/>
    <w:rsid w:val="36940077"/>
    <w:rsid w:val="369A55C7"/>
    <w:rsid w:val="36A56352"/>
    <w:rsid w:val="36A8552E"/>
    <w:rsid w:val="36B83D65"/>
    <w:rsid w:val="36BA1F34"/>
    <w:rsid w:val="36BF0D4F"/>
    <w:rsid w:val="36C3011D"/>
    <w:rsid w:val="36C505FA"/>
    <w:rsid w:val="36C66E7F"/>
    <w:rsid w:val="36D0397D"/>
    <w:rsid w:val="36D31E68"/>
    <w:rsid w:val="36D36DF1"/>
    <w:rsid w:val="36D87F64"/>
    <w:rsid w:val="36E61D4C"/>
    <w:rsid w:val="36F42319"/>
    <w:rsid w:val="371134BE"/>
    <w:rsid w:val="37116748"/>
    <w:rsid w:val="371554AC"/>
    <w:rsid w:val="372166EF"/>
    <w:rsid w:val="372C40E4"/>
    <w:rsid w:val="372D232B"/>
    <w:rsid w:val="372D75CC"/>
    <w:rsid w:val="3730757F"/>
    <w:rsid w:val="37357164"/>
    <w:rsid w:val="37362EDC"/>
    <w:rsid w:val="373D070E"/>
    <w:rsid w:val="37475806"/>
    <w:rsid w:val="37515F68"/>
    <w:rsid w:val="3754208E"/>
    <w:rsid w:val="375E0EBB"/>
    <w:rsid w:val="376B22A5"/>
    <w:rsid w:val="376B527C"/>
    <w:rsid w:val="37706D04"/>
    <w:rsid w:val="377203B8"/>
    <w:rsid w:val="378105FB"/>
    <w:rsid w:val="378D15E1"/>
    <w:rsid w:val="37901CF5"/>
    <w:rsid w:val="37931EDE"/>
    <w:rsid w:val="37956173"/>
    <w:rsid w:val="37961418"/>
    <w:rsid w:val="37971BCD"/>
    <w:rsid w:val="379876F3"/>
    <w:rsid w:val="379D0710"/>
    <w:rsid w:val="37A06937"/>
    <w:rsid w:val="37A659B0"/>
    <w:rsid w:val="37A72C11"/>
    <w:rsid w:val="37A8202C"/>
    <w:rsid w:val="37A8513C"/>
    <w:rsid w:val="37AC6225"/>
    <w:rsid w:val="37B24DF8"/>
    <w:rsid w:val="37B3452D"/>
    <w:rsid w:val="37BB5D90"/>
    <w:rsid w:val="37C05E22"/>
    <w:rsid w:val="37C92351"/>
    <w:rsid w:val="37E8067A"/>
    <w:rsid w:val="37ED0EA1"/>
    <w:rsid w:val="37ED7A3F"/>
    <w:rsid w:val="37F306BF"/>
    <w:rsid w:val="38014C91"/>
    <w:rsid w:val="38194DFA"/>
    <w:rsid w:val="381F1F79"/>
    <w:rsid w:val="38293277"/>
    <w:rsid w:val="382F696C"/>
    <w:rsid w:val="383221C0"/>
    <w:rsid w:val="383E4A53"/>
    <w:rsid w:val="385E093C"/>
    <w:rsid w:val="38615FBC"/>
    <w:rsid w:val="38657F53"/>
    <w:rsid w:val="387E6AA8"/>
    <w:rsid w:val="388E25E0"/>
    <w:rsid w:val="389E08A7"/>
    <w:rsid w:val="38A1084C"/>
    <w:rsid w:val="38A76D38"/>
    <w:rsid w:val="38B6631A"/>
    <w:rsid w:val="38BC7E7C"/>
    <w:rsid w:val="38C40971"/>
    <w:rsid w:val="38C509BB"/>
    <w:rsid w:val="38C82C75"/>
    <w:rsid w:val="38DC2EF1"/>
    <w:rsid w:val="38DF4B1A"/>
    <w:rsid w:val="38F13190"/>
    <w:rsid w:val="38FF4281"/>
    <w:rsid w:val="390667A8"/>
    <w:rsid w:val="3907713C"/>
    <w:rsid w:val="390B6DE3"/>
    <w:rsid w:val="390E6DAE"/>
    <w:rsid w:val="391060DB"/>
    <w:rsid w:val="391536F1"/>
    <w:rsid w:val="39161A72"/>
    <w:rsid w:val="39205B6B"/>
    <w:rsid w:val="3926793D"/>
    <w:rsid w:val="39334707"/>
    <w:rsid w:val="39335C35"/>
    <w:rsid w:val="3934422A"/>
    <w:rsid w:val="393F045D"/>
    <w:rsid w:val="39444EDD"/>
    <w:rsid w:val="39476D16"/>
    <w:rsid w:val="394B230B"/>
    <w:rsid w:val="394B60CA"/>
    <w:rsid w:val="394C20C8"/>
    <w:rsid w:val="395235F7"/>
    <w:rsid w:val="3954502A"/>
    <w:rsid w:val="396039FE"/>
    <w:rsid w:val="39647DA0"/>
    <w:rsid w:val="39665CFB"/>
    <w:rsid w:val="39700927"/>
    <w:rsid w:val="397456AE"/>
    <w:rsid w:val="3978683C"/>
    <w:rsid w:val="397C415A"/>
    <w:rsid w:val="397F5C7A"/>
    <w:rsid w:val="39827063"/>
    <w:rsid w:val="399076D8"/>
    <w:rsid w:val="399C319E"/>
    <w:rsid w:val="39A43F6E"/>
    <w:rsid w:val="39A73F91"/>
    <w:rsid w:val="39AC61E8"/>
    <w:rsid w:val="39AE3861"/>
    <w:rsid w:val="39AE5709"/>
    <w:rsid w:val="39BF540B"/>
    <w:rsid w:val="39C2541D"/>
    <w:rsid w:val="39CA35EA"/>
    <w:rsid w:val="39CA766B"/>
    <w:rsid w:val="39CE5047"/>
    <w:rsid w:val="39D52E80"/>
    <w:rsid w:val="39DE30A7"/>
    <w:rsid w:val="39ED01CA"/>
    <w:rsid w:val="39F0038E"/>
    <w:rsid w:val="39F22D53"/>
    <w:rsid w:val="39F477B4"/>
    <w:rsid w:val="39F8091D"/>
    <w:rsid w:val="39FC4997"/>
    <w:rsid w:val="3A060AE1"/>
    <w:rsid w:val="3A127C30"/>
    <w:rsid w:val="3A1D0AC8"/>
    <w:rsid w:val="3A2610C0"/>
    <w:rsid w:val="3A266CCC"/>
    <w:rsid w:val="3A2A4F7A"/>
    <w:rsid w:val="3A2E2CE8"/>
    <w:rsid w:val="3A306308"/>
    <w:rsid w:val="3A3B208D"/>
    <w:rsid w:val="3A3D7EDC"/>
    <w:rsid w:val="3A3E5E77"/>
    <w:rsid w:val="3A454E26"/>
    <w:rsid w:val="3A461688"/>
    <w:rsid w:val="3A4D0C68"/>
    <w:rsid w:val="3A5A3DE1"/>
    <w:rsid w:val="3A612966"/>
    <w:rsid w:val="3A6224DA"/>
    <w:rsid w:val="3A634807"/>
    <w:rsid w:val="3A791A5E"/>
    <w:rsid w:val="3A7C088B"/>
    <w:rsid w:val="3A7F7A89"/>
    <w:rsid w:val="3A8E7CF0"/>
    <w:rsid w:val="3A8F74D3"/>
    <w:rsid w:val="3AA84E8D"/>
    <w:rsid w:val="3AAC4FCF"/>
    <w:rsid w:val="3AB0091A"/>
    <w:rsid w:val="3AB04C16"/>
    <w:rsid w:val="3AB1520D"/>
    <w:rsid w:val="3AB46F3A"/>
    <w:rsid w:val="3ACA22B9"/>
    <w:rsid w:val="3AD53FD8"/>
    <w:rsid w:val="3ADB01D5"/>
    <w:rsid w:val="3ADB6409"/>
    <w:rsid w:val="3AE27603"/>
    <w:rsid w:val="3AE31646"/>
    <w:rsid w:val="3AE44521"/>
    <w:rsid w:val="3AE66BC8"/>
    <w:rsid w:val="3AF60BD8"/>
    <w:rsid w:val="3AF85078"/>
    <w:rsid w:val="3AF949F7"/>
    <w:rsid w:val="3AFE7D86"/>
    <w:rsid w:val="3B005CDB"/>
    <w:rsid w:val="3B033FD8"/>
    <w:rsid w:val="3B037C46"/>
    <w:rsid w:val="3B065FFA"/>
    <w:rsid w:val="3B0D6DEE"/>
    <w:rsid w:val="3B181276"/>
    <w:rsid w:val="3B1B0D67"/>
    <w:rsid w:val="3B1C22BD"/>
    <w:rsid w:val="3B1D42F5"/>
    <w:rsid w:val="3B221816"/>
    <w:rsid w:val="3B293484"/>
    <w:rsid w:val="3B2A7012"/>
    <w:rsid w:val="3B35501E"/>
    <w:rsid w:val="3B380EFD"/>
    <w:rsid w:val="3B3944C2"/>
    <w:rsid w:val="3B422F12"/>
    <w:rsid w:val="3B443E1A"/>
    <w:rsid w:val="3B5335CD"/>
    <w:rsid w:val="3B605D74"/>
    <w:rsid w:val="3B64270E"/>
    <w:rsid w:val="3B6E7CCC"/>
    <w:rsid w:val="3B7C1F4D"/>
    <w:rsid w:val="3B890AB8"/>
    <w:rsid w:val="3B8C5AEE"/>
    <w:rsid w:val="3B90393F"/>
    <w:rsid w:val="3B905733"/>
    <w:rsid w:val="3B982DA9"/>
    <w:rsid w:val="3BAC28BB"/>
    <w:rsid w:val="3BAF315D"/>
    <w:rsid w:val="3BB12285"/>
    <w:rsid w:val="3BB3329E"/>
    <w:rsid w:val="3BBC60A6"/>
    <w:rsid w:val="3BC438A3"/>
    <w:rsid w:val="3BCA5218"/>
    <w:rsid w:val="3BD0226B"/>
    <w:rsid w:val="3BDB0D89"/>
    <w:rsid w:val="3BE12BC0"/>
    <w:rsid w:val="3BE57EB5"/>
    <w:rsid w:val="3BEE2461"/>
    <w:rsid w:val="3BFE66BE"/>
    <w:rsid w:val="3BFF184D"/>
    <w:rsid w:val="3C0B66C9"/>
    <w:rsid w:val="3C0F654B"/>
    <w:rsid w:val="3C1A0131"/>
    <w:rsid w:val="3C240AB3"/>
    <w:rsid w:val="3C2A2D9F"/>
    <w:rsid w:val="3C3976F6"/>
    <w:rsid w:val="3C3A5E97"/>
    <w:rsid w:val="3C3B3ADE"/>
    <w:rsid w:val="3C4210E1"/>
    <w:rsid w:val="3C454CDD"/>
    <w:rsid w:val="3C4A1903"/>
    <w:rsid w:val="3C625388"/>
    <w:rsid w:val="3C63774F"/>
    <w:rsid w:val="3C685AAF"/>
    <w:rsid w:val="3C692435"/>
    <w:rsid w:val="3C6C76DB"/>
    <w:rsid w:val="3C6E5E4C"/>
    <w:rsid w:val="3C74072E"/>
    <w:rsid w:val="3C7D7048"/>
    <w:rsid w:val="3C97691F"/>
    <w:rsid w:val="3C9C1C0D"/>
    <w:rsid w:val="3CA0473B"/>
    <w:rsid w:val="3CA34644"/>
    <w:rsid w:val="3CA353FE"/>
    <w:rsid w:val="3CA37266"/>
    <w:rsid w:val="3CA41074"/>
    <w:rsid w:val="3CA9008B"/>
    <w:rsid w:val="3CB01F2D"/>
    <w:rsid w:val="3CB11983"/>
    <w:rsid w:val="3CB514DE"/>
    <w:rsid w:val="3CBE24FE"/>
    <w:rsid w:val="3CC81F2A"/>
    <w:rsid w:val="3CD427F4"/>
    <w:rsid w:val="3CE21B3C"/>
    <w:rsid w:val="3CE87E95"/>
    <w:rsid w:val="3CF60458"/>
    <w:rsid w:val="3CF81CBC"/>
    <w:rsid w:val="3D0E1841"/>
    <w:rsid w:val="3D0F2D0B"/>
    <w:rsid w:val="3D193084"/>
    <w:rsid w:val="3D1C2D3A"/>
    <w:rsid w:val="3D267331"/>
    <w:rsid w:val="3D2A60E7"/>
    <w:rsid w:val="3D314BAA"/>
    <w:rsid w:val="3D3843F6"/>
    <w:rsid w:val="3D3A413E"/>
    <w:rsid w:val="3D3B0E1D"/>
    <w:rsid w:val="3D3B1444"/>
    <w:rsid w:val="3D4501F5"/>
    <w:rsid w:val="3D5C645B"/>
    <w:rsid w:val="3D5F2358"/>
    <w:rsid w:val="3D624A2B"/>
    <w:rsid w:val="3D642301"/>
    <w:rsid w:val="3D673DEF"/>
    <w:rsid w:val="3D6B5C28"/>
    <w:rsid w:val="3D74595C"/>
    <w:rsid w:val="3D783FFF"/>
    <w:rsid w:val="3D792B22"/>
    <w:rsid w:val="3D824F90"/>
    <w:rsid w:val="3D850719"/>
    <w:rsid w:val="3D8A4880"/>
    <w:rsid w:val="3D940345"/>
    <w:rsid w:val="3D944466"/>
    <w:rsid w:val="3D96410A"/>
    <w:rsid w:val="3D9646D4"/>
    <w:rsid w:val="3D9837CA"/>
    <w:rsid w:val="3D9A41C5"/>
    <w:rsid w:val="3D9B1D3F"/>
    <w:rsid w:val="3D9B1DB2"/>
    <w:rsid w:val="3DA27397"/>
    <w:rsid w:val="3DAE0FBD"/>
    <w:rsid w:val="3DAE1445"/>
    <w:rsid w:val="3DB3369B"/>
    <w:rsid w:val="3DBC1E98"/>
    <w:rsid w:val="3DC4604E"/>
    <w:rsid w:val="3DD40558"/>
    <w:rsid w:val="3DE25992"/>
    <w:rsid w:val="3DE868EA"/>
    <w:rsid w:val="3DEA0FF8"/>
    <w:rsid w:val="3DEB52A6"/>
    <w:rsid w:val="3DF02C97"/>
    <w:rsid w:val="3DF72626"/>
    <w:rsid w:val="3E0019D1"/>
    <w:rsid w:val="3E111FAD"/>
    <w:rsid w:val="3E12060A"/>
    <w:rsid w:val="3E1A16D7"/>
    <w:rsid w:val="3E2B4E45"/>
    <w:rsid w:val="3E3363C7"/>
    <w:rsid w:val="3E387D1A"/>
    <w:rsid w:val="3E3A59A8"/>
    <w:rsid w:val="3E483694"/>
    <w:rsid w:val="3E755D62"/>
    <w:rsid w:val="3E793980"/>
    <w:rsid w:val="3E7A242C"/>
    <w:rsid w:val="3E7E400E"/>
    <w:rsid w:val="3E7F705F"/>
    <w:rsid w:val="3E8A469A"/>
    <w:rsid w:val="3EA01766"/>
    <w:rsid w:val="3EA12549"/>
    <w:rsid w:val="3EA84C56"/>
    <w:rsid w:val="3EAC4F76"/>
    <w:rsid w:val="3EBD5B3F"/>
    <w:rsid w:val="3EC312CE"/>
    <w:rsid w:val="3ED25BE0"/>
    <w:rsid w:val="3ED27743"/>
    <w:rsid w:val="3EE834FF"/>
    <w:rsid w:val="3EED2A1A"/>
    <w:rsid w:val="3EF231EE"/>
    <w:rsid w:val="3EF252C4"/>
    <w:rsid w:val="3EF77497"/>
    <w:rsid w:val="3EFA177E"/>
    <w:rsid w:val="3F052628"/>
    <w:rsid w:val="3F06105C"/>
    <w:rsid w:val="3F0A7128"/>
    <w:rsid w:val="3F0C53CA"/>
    <w:rsid w:val="3F1F4CA1"/>
    <w:rsid w:val="3F4A37DD"/>
    <w:rsid w:val="3F4C367C"/>
    <w:rsid w:val="3F51413E"/>
    <w:rsid w:val="3F597624"/>
    <w:rsid w:val="3F5B39FD"/>
    <w:rsid w:val="3F5C2CAF"/>
    <w:rsid w:val="3F5E7474"/>
    <w:rsid w:val="3F63782B"/>
    <w:rsid w:val="3F655950"/>
    <w:rsid w:val="3F6C12E5"/>
    <w:rsid w:val="3F6E3B5B"/>
    <w:rsid w:val="3F6F7358"/>
    <w:rsid w:val="3F751CD1"/>
    <w:rsid w:val="3F786E96"/>
    <w:rsid w:val="3F890995"/>
    <w:rsid w:val="3F8A3063"/>
    <w:rsid w:val="3F8D7C72"/>
    <w:rsid w:val="3FA24DE0"/>
    <w:rsid w:val="3FA532F5"/>
    <w:rsid w:val="3FAC00F9"/>
    <w:rsid w:val="3FAE2A19"/>
    <w:rsid w:val="3FBB4484"/>
    <w:rsid w:val="3FCA1D08"/>
    <w:rsid w:val="3FD13644"/>
    <w:rsid w:val="3FD502AA"/>
    <w:rsid w:val="3FD5276D"/>
    <w:rsid w:val="3FD673A2"/>
    <w:rsid w:val="3FE0432D"/>
    <w:rsid w:val="3FE8742C"/>
    <w:rsid w:val="400570E0"/>
    <w:rsid w:val="40093EB5"/>
    <w:rsid w:val="400E64B5"/>
    <w:rsid w:val="400F34F7"/>
    <w:rsid w:val="402507DC"/>
    <w:rsid w:val="40276397"/>
    <w:rsid w:val="403300BC"/>
    <w:rsid w:val="40334D8B"/>
    <w:rsid w:val="40335372"/>
    <w:rsid w:val="4056646C"/>
    <w:rsid w:val="405A5052"/>
    <w:rsid w:val="405F22A2"/>
    <w:rsid w:val="406708C5"/>
    <w:rsid w:val="4068438D"/>
    <w:rsid w:val="407050F1"/>
    <w:rsid w:val="407928EC"/>
    <w:rsid w:val="40827192"/>
    <w:rsid w:val="408A1DF1"/>
    <w:rsid w:val="40924E1B"/>
    <w:rsid w:val="409343BF"/>
    <w:rsid w:val="40A22A67"/>
    <w:rsid w:val="40B03CFF"/>
    <w:rsid w:val="40B266BB"/>
    <w:rsid w:val="40B35FDE"/>
    <w:rsid w:val="40B93661"/>
    <w:rsid w:val="40C96430"/>
    <w:rsid w:val="40D1149A"/>
    <w:rsid w:val="40D514AA"/>
    <w:rsid w:val="40DA4367"/>
    <w:rsid w:val="40DE0E33"/>
    <w:rsid w:val="40E77274"/>
    <w:rsid w:val="40E80973"/>
    <w:rsid w:val="40F31B3C"/>
    <w:rsid w:val="40F523F9"/>
    <w:rsid w:val="40F62000"/>
    <w:rsid w:val="40F63E08"/>
    <w:rsid w:val="40FB1372"/>
    <w:rsid w:val="41076015"/>
    <w:rsid w:val="41210E4E"/>
    <w:rsid w:val="41266364"/>
    <w:rsid w:val="41354204"/>
    <w:rsid w:val="413936AC"/>
    <w:rsid w:val="41460B0E"/>
    <w:rsid w:val="414670D0"/>
    <w:rsid w:val="414E1B6D"/>
    <w:rsid w:val="41626363"/>
    <w:rsid w:val="41782A6F"/>
    <w:rsid w:val="417B756F"/>
    <w:rsid w:val="418B1628"/>
    <w:rsid w:val="419664FA"/>
    <w:rsid w:val="419A3953"/>
    <w:rsid w:val="41A540E0"/>
    <w:rsid w:val="41A74FDC"/>
    <w:rsid w:val="41AB2699"/>
    <w:rsid w:val="41BA3A5D"/>
    <w:rsid w:val="41BD4926"/>
    <w:rsid w:val="41C2655D"/>
    <w:rsid w:val="41C4210A"/>
    <w:rsid w:val="41CA26C6"/>
    <w:rsid w:val="41CE268F"/>
    <w:rsid w:val="41D229E4"/>
    <w:rsid w:val="41D5584F"/>
    <w:rsid w:val="41D57EC1"/>
    <w:rsid w:val="41D81629"/>
    <w:rsid w:val="41F16322"/>
    <w:rsid w:val="41F20DCA"/>
    <w:rsid w:val="41F5486F"/>
    <w:rsid w:val="420714A9"/>
    <w:rsid w:val="420A03DA"/>
    <w:rsid w:val="42116A20"/>
    <w:rsid w:val="421A3B26"/>
    <w:rsid w:val="42213A90"/>
    <w:rsid w:val="42240698"/>
    <w:rsid w:val="422975E8"/>
    <w:rsid w:val="423102F8"/>
    <w:rsid w:val="42322CE1"/>
    <w:rsid w:val="42334BE8"/>
    <w:rsid w:val="423D26ED"/>
    <w:rsid w:val="423D38D4"/>
    <w:rsid w:val="424E1A22"/>
    <w:rsid w:val="424F3145"/>
    <w:rsid w:val="4269685C"/>
    <w:rsid w:val="427C5B2B"/>
    <w:rsid w:val="42816DCC"/>
    <w:rsid w:val="4282719D"/>
    <w:rsid w:val="42892A5A"/>
    <w:rsid w:val="428930C1"/>
    <w:rsid w:val="428F07F1"/>
    <w:rsid w:val="42935686"/>
    <w:rsid w:val="429F5DD9"/>
    <w:rsid w:val="42A927C0"/>
    <w:rsid w:val="42AA06D3"/>
    <w:rsid w:val="42AC1410"/>
    <w:rsid w:val="42AF3A3B"/>
    <w:rsid w:val="42B40906"/>
    <w:rsid w:val="42B51AA1"/>
    <w:rsid w:val="42C00B9E"/>
    <w:rsid w:val="42C77B1D"/>
    <w:rsid w:val="42CF2B62"/>
    <w:rsid w:val="42D25FA6"/>
    <w:rsid w:val="42D56164"/>
    <w:rsid w:val="42DC4800"/>
    <w:rsid w:val="42E94BAC"/>
    <w:rsid w:val="42EA6301"/>
    <w:rsid w:val="42F20C0A"/>
    <w:rsid w:val="42F42BEB"/>
    <w:rsid w:val="42FF4ACA"/>
    <w:rsid w:val="430567FD"/>
    <w:rsid w:val="4306298E"/>
    <w:rsid w:val="430D2AC7"/>
    <w:rsid w:val="431851A0"/>
    <w:rsid w:val="433D07AA"/>
    <w:rsid w:val="4344667F"/>
    <w:rsid w:val="434F0DEB"/>
    <w:rsid w:val="43503B3C"/>
    <w:rsid w:val="43562BAD"/>
    <w:rsid w:val="43562D62"/>
    <w:rsid w:val="435C647D"/>
    <w:rsid w:val="435E3C68"/>
    <w:rsid w:val="436D5ED7"/>
    <w:rsid w:val="43792CA2"/>
    <w:rsid w:val="43813A65"/>
    <w:rsid w:val="43866710"/>
    <w:rsid w:val="438A3C39"/>
    <w:rsid w:val="438D0328"/>
    <w:rsid w:val="439366D4"/>
    <w:rsid w:val="439F61E6"/>
    <w:rsid w:val="43A24A91"/>
    <w:rsid w:val="43A71A66"/>
    <w:rsid w:val="43AA450B"/>
    <w:rsid w:val="43AA5F6A"/>
    <w:rsid w:val="43B41828"/>
    <w:rsid w:val="43BB6F97"/>
    <w:rsid w:val="43BD5CC6"/>
    <w:rsid w:val="43C64FBC"/>
    <w:rsid w:val="43DD12AF"/>
    <w:rsid w:val="43DE0B83"/>
    <w:rsid w:val="43E60CC3"/>
    <w:rsid w:val="43E7724E"/>
    <w:rsid w:val="44054BB3"/>
    <w:rsid w:val="440C599A"/>
    <w:rsid w:val="440D17C7"/>
    <w:rsid w:val="44103A6F"/>
    <w:rsid w:val="441F3676"/>
    <w:rsid w:val="442A3DC9"/>
    <w:rsid w:val="44352E99"/>
    <w:rsid w:val="44354C47"/>
    <w:rsid w:val="443B4DFF"/>
    <w:rsid w:val="444254EE"/>
    <w:rsid w:val="44461FB0"/>
    <w:rsid w:val="444A30D3"/>
    <w:rsid w:val="444E5D09"/>
    <w:rsid w:val="44564BBE"/>
    <w:rsid w:val="445826E4"/>
    <w:rsid w:val="44584FF8"/>
    <w:rsid w:val="446217B4"/>
    <w:rsid w:val="44661A2C"/>
    <w:rsid w:val="446631CB"/>
    <w:rsid w:val="446961DD"/>
    <w:rsid w:val="44712861"/>
    <w:rsid w:val="44727C49"/>
    <w:rsid w:val="4476157F"/>
    <w:rsid w:val="4491472D"/>
    <w:rsid w:val="44927332"/>
    <w:rsid w:val="44942403"/>
    <w:rsid w:val="44A320BD"/>
    <w:rsid w:val="44A863D8"/>
    <w:rsid w:val="44AA52C3"/>
    <w:rsid w:val="44AC5DEB"/>
    <w:rsid w:val="44B40FF0"/>
    <w:rsid w:val="44B62EF0"/>
    <w:rsid w:val="44C14C36"/>
    <w:rsid w:val="44C335AB"/>
    <w:rsid w:val="44C37715"/>
    <w:rsid w:val="44DB760A"/>
    <w:rsid w:val="44E001FA"/>
    <w:rsid w:val="44ED5522"/>
    <w:rsid w:val="44F81395"/>
    <w:rsid w:val="4513431C"/>
    <w:rsid w:val="451461FF"/>
    <w:rsid w:val="45191087"/>
    <w:rsid w:val="451A25FB"/>
    <w:rsid w:val="451E2BDB"/>
    <w:rsid w:val="4528655A"/>
    <w:rsid w:val="45290336"/>
    <w:rsid w:val="452D41E7"/>
    <w:rsid w:val="45463FA1"/>
    <w:rsid w:val="454D711E"/>
    <w:rsid w:val="45505AB1"/>
    <w:rsid w:val="4550785F"/>
    <w:rsid w:val="45576E3F"/>
    <w:rsid w:val="456362F5"/>
    <w:rsid w:val="45665B6E"/>
    <w:rsid w:val="45670031"/>
    <w:rsid w:val="45690C14"/>
    <w:rsid w:val="456D6663"/>
    <w:rsid w:val="456E30DF"/>
    <w:rsid w:val="456E493C"/>
    <w:rsid w:val="45750807"/>
    <w:rsid w:val="457C5710"/>
    <w:rsid w:val="458539AC"/>
    <w:rsid w:val="458B498F"/>
    <w:rsid w:val="458D0A2C"/>
    <w:rsid w:val="459200A2"/>
    <w:rsid w:val="45996EA1"/>
    <w:rsid w:val="45A04342"/>
    <w:rsid w:val="45A55224"/>
    <w:rsid w:val="45A7093E"/>
    <w:rsid w:val="45AC0F39"/>
    <w:rsid w:val="45B429A1"/>
    <w:rsid w:val="45B527CD"/>
    <w:rsid w:val="45B75D7A"/>
    <w:rsid w:val="45D16CFB"/>
    <w:rsid w:val="45DC11CC"/>
    <w:rsid w:val="45E76415"/>
    <w:rsid w:val="45EA1A61"/>
    <w:rsid w:val="45EC0923"/>
    <w:rsid w:val="45ED7E26"/>
    <w:rsid w:val="45F66255"/>
    <w:rsid w:val="45FE618C"/>
    <w:rsid w:val="45FF0BCE"/>
    <w:rsid w:val="46084CE9"/>
    <w:rsid w:val="460A037D"/>
    <w:rsid w:val="460D74FE"/>
    <w:rsid w:val="46115CF7"/>
    <w:rsid w:val="46141AA5"/>
    <w:rsid w:val="46180EF7"/>
    <w:rsid w:val="461C6657"/>
    <w:rsid w:val="461E1F4D"/>
    <w:rsid w:val="462018A9"/>
    <w:rsid w:val="462431C5"/>
    <w:rsid w:val="462867F0"/>
    <w:rsid w:val="46291AF4"/>
    <w:rsid w:val="462E66BA"/>
    <w:rsid w:val="462F507F"/>
    <w:rsid w:val="4631338D"/>
    <w:rsid w:val="463D738B"/>
    <w:rsid w:val="46496788"/>
    <w:rsid w:val="465626AB"/>
    <w:rsid w:val="465658CF"/>
    <w:rsid w:val="465A1532"/>
    <w:rsid w:val="465E1EB1"/>
    <w:rsid w:val="46601D24"/>
    <w:rsid w:val="466061AE"/>
    <w:rsid w:val="46613613"/>
    <w:rsid w:val="4661683E"/>
    <w:rsid w:val="466E3168"/>
    <w:rsid w:val="46704059"/>
    <w:rsid w:val="46733C10"/>
    <w:rsid w:val="46780E1B"/>
    <w:rsid w:val="468425F3"/>
    <w:rsid w:val="46851B4B"/>
    <w:rsid w:val="468772B0"/>
    <w:rsid w:val="468B34A7"/>
    <w:rsid w:val="46903654"/>
    <w:rsid w:val="46974FEE"/>
    <w:rsid w:val="46A50F87"/>
    <w:rsid w:val="46AA2F9F"/>
    <w:rsid w:val="46AC12A9"/>
    <w:rsid w:val="46BC33FE"/>
    <w:rsid w:val="46C47AAA"/>
    <w:rsid w:val="46C71A73"/>
    <w:rsid w:val="46C907D4"/>
    <w:rsid w:val="46C92B19"/>
    <w:rsid w:val="46CC1A2C"/>
    <w:rsid w:val="46D544C0"/>
    <w:rsid w:val="46E14C12"/>
    <w:rsid w:val="46EC3F16"/>
    <w:rsid w:val="46F177F5"/>
    <w:rsid w:val="4703102D"/>
    <w:rsid w:val="47044801"/>
    <w:rsid w:val="47046B53"/>
    <w:rsid w:val="47051BEE"/>
    <w:rsid w:val="47062F9A"/>
    <w:rsid w:val="471072A6"/>
    <w:rsid w:val="471A3CF3"/>
    <w:rsid w:val="471F398D"/>
    <w:rsid w:val="47322FB5"/>
    <w:rsid w:val="47331AD7"/>
    <w:rsid w:val="47337C78"/>
    <w:rsid w:val="47371BDF"/>
    <w:rsid w:val="47422C86"/>
    <w:rsid w:val="4752766B"/>
    <w:rsid w:val="475A7A47"/>
    <w:rsid w:val="47670481"/>
    <w:rsid w:val="476F3569"/>
    <w:rsid w:val="47745A86"/>
    <w:rsid w:val="477603C2"/>
    <w:rsid w:val="47843482"/>
    <w:rsid w:val="47864B3D"/>
    <w:rsid w:val="4789235D"/>
    <w:rsid w:val="478C7274"/>
    <w:rsid w:val="478F0B12"/>
    <w:rsid w:val="479345B1"/>
    <w:rsid w:val="47A311D0"/>
    <w:rsid w:val="47AA76FA"/>
    <w:rsid w:val="47AF1FAD"/>
    <w:rsid w:val="47AF5850"/>
    <w:rsid w:val="47BA6420"/>
    <w:rsid w:val="47BB36B5"/>
    <w:rsid w:val="47BC11DC"/>
    <w:rsid w:val="47BD6A22"/>
    <w:rsid w:val="47CA2726"/>
    <w:rsid w:val="47CF0F0F"/>
    <w:rsid w:val="47DC4F9D"/>
    <w:rsid w:val="47E250E6"/>
    <w:rsid w:val="47E26E94"/>
    <w:rsid w:val="47EF1A13"/>
    <w:rsid w:val="47F95DD9"/>
    <w:rsid w:val="47FC6F33"/>
    <w:rsid w:val="47FE7B25"/>
    <w:rsid w:val="48020772"/>
    <w:rsid w:val="48035A1D"/>
    <w:rsid w:val="48142DC6"/>
    <w:rsid w:val="48186452"/>
    <w:rsid w:val="481C1899"/>
    <w:rsid w:val="481E5F6E"/>
    <w:rsid w:val="4824260F"/>
    <w:rsid w:val="48253782"/>
    <w:rsid w:val="48282D03"/>
    <w:rsid w:val="482C67AD"/>
    <w:rsid w:val="482E6F6B"/>
    <w:rsid w:val="483E7E42"/>
    <w:rsid w:val="4840038A"/>
    <w:rsid w:val="484A01B7"/>
    <w:rsid w:val="484A3B7A"/>
    <w:rsid w:val="485B09F4"/>
    <w:rsid w:val="485D1DC7"/>
    <w:rsid w:val="48701A3D"/>
    <w:rsid w:val="48726A04"/>
    <w:rsid w:val="487B6744"/>
    <w:rsid w:val="487F0959"/>
    <w:rsid w:val="488E0423"/>
    <w:rsid w:val="48943E98"/>
    <w:rsid w:val="489C4638"/>
    <w:rsid w:val="489D7A48"/>
    <w:rsid w:val="48A00AFD"/>
    <w:rsid w:val="48B45470"/>
    <w:rsid w:val="48BC66EE"/>
    <w:rsid w:val="48BD4A1B"/>
    <w:rsid w:val="48BD64DD"/>
    <w:rsid w:val="48BF0F83"/>
    <w:rsid w:val="48CB5B7A"/>
    <w:rsid w:val="48D3302F"/>
    <w:rsid w:val="48D836C6"/>
    <w:rsid w:val="48DA2AB1"/>
    <w:rsid w:val="48DA7B6B"/>
    <w:rsid w:val="48DD38AC"/>
    <w:rsid w:val="48DF4AFA"/>
    <w:rsid w:val="48E155A5"/>
    <w:rsid w:val="48E42798"/>
    <w:rsid w:val="48E50A71"/>
    <w:rsid w:val="48F00ECF"/>
    <w:rsid w:val="48F121DB"/>
    <w:rsid w:val="48F54290"/>
    <w:rsid w:val="48FB5660"/>
    <w:rsid w:val="48FD4CBE"/>
    <w:rsid w:val="49127511"/>
    <w:rsid w:val="49172B6D"/>
    <w:rsid w:val="492F1A7F"/>
    <w:rsid w:val="49325BF9"/>
    <w:rsid w:val="493C6797"/>
    <w:rsid w:val="49432AC6"/>
    <w:rsid w:val="494F2E6F"/>
    <w:rsid w:val="4957740E"/>
    <w:rsid w:val="4961604F"/>
    <w:rsid w:val="496D2B2A"/>
    <w:rsid w:val="49725FF6"/>
    <w:rsid w:val="49744FD5"/>
    <w:rsid w:val="49753D38"/>
    <w:rsid w:val="497955D6"/>
    <w:rsid w:val="497D0B3A"/>
    <w:rsid w:val="49866B78"/>
    <w:rsid w:val="498B0975"/>
    <w:rsid w:val="49962F4C"/>
    <w:rsid w:val="49A83568"/>
    <w:rsid w:val="49B01D5E"/>
    <w:rsid w:val="49B605D8"/>
    <w:rsid w:val="49B77EAC"/>
    <w:rsid w:val="49C66341"/>
    <w:rsid w:val="49D21ADD"/>
    <w:rsid w:val="49DE368B"/>
    <w:rsid w:val="49DF11B1"/>
    <w:rsid w:val="49E54A1A"/>
    <w:rsid w:val="49F7474D"/>
    <w:rsid w:val="49F83333"/>
    <w:rsid w:val="4A0808DE"/>
    <w:rsid w:val="4A0B5DFB"/>
    <w:rsid w:val="4A0F0E22"/>
    <w:rsid w:val="4A1E487A"/>
    <w:rsid w:val="4A200A4F"/>
    <w:rsid w:val="4A2C2648"/>
    <w:rsid w:val="4A3212FB"/>
    <w:rsid w:val="4A3239D7"/>
    <w:rsid w:val="4A340396"/>
    <w:rsid w:val="4A3A432F"/>
    <w:rsid w:val="4A413FFB"/>
    <w:rsid w:val="4A4414E2"/>
    <w:rsid w:val="4A4B4C6F"/>
    <w:rsid w:val="4A4D29F6"/>
    <w:rsid w:val="4A4E6A63"/>
    <w:rsid w:val="4A54394D"/>
    <w:rsid w:val="4A5663DF"/>
    <w:rsid w:val="4A6022F2"/>
    <w:rsid w:val="4A62384D"/>
    <w:rsid w:val="4A671909"/>
    <w:rsid w:val="4A6E4C04"/>
    <w:rsid w:val="4A767D68"/>
    <w:rsid w:val="4A845D47"/>
    <w:rsid w:val="4A85689F"/>
    <w:rsid w:val="4A892552"/>
    <w:rsid w:val="4A8A736F"/>
    <w:rsid w:val="4A96711A"/>
    <w:rsid w:val="4A9B5A20"/>
    <w:rsid w:val="4A9F106C"/>
    <w:rsid w:val="4AA00BC5"/>
    <w:rsid w:val="4AA046CC"/>
    <w:rsid w:val="4AA85A47"/>
    <w:rsid w:val="4AA91EEB"/>
    <w:rsid w:val="4AB07424"/>
    <w:rsid w:val="4AB30679"/>
    <w:rsid w:val="4ABC5C09"/>
    <w:rsid w:val="4AC105A7"/>
    <w:rsid w:val="4AC97E97"/>
    <w:rsid w:val="4ACC0079"/>
    <w:rsid w:val="4ACD2F8D"/>
    <w:rsid w:val="4ACE035A"/>
    <w:rsid w:val="4ACF6365"/>
    <w:rsid w:val="4AD54A8E"/>
    <w:rsid w:val="4AD94F67"/>
    <w:rsid w:val="4ADD3943"/>
    <w:rsid w:val="4AED3486"/>
    <w:rsid w:val="4AED3BDF"/>
    <w:rsid w:val="4AEF6B45"/>
    <w:rsid w:val="4AF53440"/>
    <w:rsid w:val="4AFF016E"/>
    <w:rsid w:val="4AFF7D5D"/>
    <w:rsid w:val="4B0072BA"/>
    <w:rsid w:val="4B080B56"/>
    <w:rsid w:val="4B0A45F8"/>
    <w:rsid w:val="4B156DB1"/>
    <w:rsid w:val="4B162725"/>
    <w:rsid w:val="4B2257F9"/>
    <w:rsid w:val="4B2E5C4C"/>
    <w:rsid w:val="4B337071"/>
    <w:rsid w:val="4B365921"/>
    <w:rsid w:val="4B3B7A07"/>
    <w:rsid w:val="4B43686F"/>
    <w:rsid w:val="4B4E4840"/>
    <w:rsid w:val="4B50680B"/>
    <w:rsid w:val="4B5736F5"/>
    <w:rsid w:val="4B58746D"/>
    <w:rsid w:val="4B83273C"/>
    <w:rsid w:val="4B85213F"/>
    <w:rsid w:val="4B942074"/>
    <w:rsid w:val="4B983D0E"/>
    <w:rsid w:val="4B9A2A4F"/>
    <w:rsid w:val="4B9D30D2"/>
    <w:rsid w:val="4BB17561"/>
    <w:rsid w:val="4BC41BFA"/>
    <w:rsid w:val="4BC42F97"/>
    <w:rsid w:val="4BCB7C3F"/>
    <w:rsid w:val="4BCD5112"/>
    <w:rsid w:val="4BD13D0D"/>
    <w:rsid w:val="4BD33972"/>
    <w:rsid w:val="4BD97147"/>
    <w:rsid w:val="4BE17463"/>
    <w:rsid w:val="4BE656A1"/>
    <w:rsid w:val="4BE90C05"/>
    <w:rsid w:val="4BEA4D2B"/>
    <w:rsid w:val="4BEC7BC9"/>
    <w:rsid w:val="4BED71F8"/>
    <w:rsid w:val="4C0D2F9A"/>
    <w:rsid w:val="4C0F4BC6"/>
    <w:rsid w:val="4C1C6F57"/>
    <w:rsid w:val="4C1E6A14"/>
    <w:rsid w:val="4C3169C7"/>
    <w:rsid w:val="4C3457E4"/>
    <w:rsid w:val="4C556C0C"/>
    <w:rsid w:val="4C5D6A3D"/>
    <w:rsid w:val="4C6267F5"/>
    <w:rsid w:val="4C67742E"/>
    <w:rsid w:val="4C683269"/>
    <w:rsid w:val="4C6F1BE5"/>
    <w:rsid w:val="4C6F4A6E"/>
    <w:rsid w:val="4C714C8A"/>
    <w:rsid w:val="4C790A88"/>
    <w:rsid w:val="4C7D53DD"/>
    <w:rsid w:val="4C85042B"/>
    <w:rsid w:val="4C850646"/>
    <w:rsid w:val="4C871CAB"/>
    <w:rsid w:val="4C8C5620"/>
    <w:rsid w:val="4C9802E1"/>
    <w:rsid w:val="4C9B1067"/>
    <w:rsid w:val="4C9C021D"/>
    <w:rsid w:val="4C9C0483"/>
    <w:rsid w:val="4CB15087"/>
    <w:rsid w:val="4CB30DFF"/>
    <w:rsid w:val="4CB46925"/>
    <w:rsid w:val="4CC82658"/>
    <w:rsid w:val="4CCC0113"/>
    <w:rsid w:val="4CD314A1"/>
    <w:rsid w:val="4CD95A55"/>
    <w:rsid w:val="4CDD5E7C"/>
    <w:rsid w:val="4CDE0E48"/>
    <w:rsid w:val="4CE36665"/>
    <w:rsid w:val="4D01600E"/>
    <w:rsid w:val="4D027C28"/>
    <w:rsid w:val="4D0D5601"/>
    <w:rsid w:val="4D0D7D1D"/>
    <w:rsid w:val="4D1675E0"/>
    <w:rsid w:val="4D18482A"/>
    <w:rsid w:val="4D1C6849"/>
    <w:rsid w:val="4D1D6241"/>
    <w:rsid w:val="4D203FBB"/>
    <w:rsid w:val="4D2100CC"/>
    <w:rsid w:val="4D287429"/>
    <w:rsid w:val="4D2A6BE7"/>
    <w:rsid w:val="4D2B2FC8"/>
    <w:rsid w:val="4D3F764C"/>
    <w:rsid w:val="4D4001B9"/>
    <w:rsid w:val="4D475574"/>
    <w:rsid w:val="4D57451B"/>
    <w:rsid w:val="4D576E66"/>
    <w:rsid w:val="4D585FC2"/>
    <w:rsid w:val="4D5D2784"/>
    <w:rsid w:val="4D6150D8"/>
    <w:rsid w:val="4D6D438C"/>
    <w:rsid w:val="4D8B3B2A"/>
    <w:rsid w:val="4D970E1C"/>
    <w:rsid w:val="4D973F3E"/>
    <w:rsid w:val="4D9D385D"/>
    <w:rsid w:val="4D9E34DC"/>
    <w:rsid w:val="4DB049C4"/>
    <w:rsid w:val="4DC27CF9"/>
    <w:rsid w:val="4DD249F3"/>
    <w:rsid w:val="4DD70B1D"/>
    <w:rsid w:val="4DD94895"/>
    <w:rsid w:val="4DEA1A1D"/>
    <w:rsid w:val="4DF6595D"/>
    <w:rsid w:val="4DFD197D"/>
    <w:rsid w:val="4E0A6213"/>
    <w:rsid w:val="4E104467"/>
    <w:rsid w:val="4E114210"/>
    <w:rsid w:val="4E117365"/>
    <w:rsid w:val="4E192EE4"/>
    <w:rsid w:val="4E217FEA"/>
    <w:rsid w:val="4E277C38"/>
    <w:rsid w:val="4E292AF8"/>
    <w:rsid w:val="4E2A57D5"/>
    <w:rsid w:val="4E3921F4"/>
    <w:rsid w:val="4E3D6747"/>
    <w:rsid w:val="4E4156E1"/>
    <w:rsid w:val="4E475609"/>
    <w:rsid w:val="4E482AF9"/>
    <w:rsid w:val="4E4B091A"/>
    <w:rsid w:val="4E5B7230"/>
    <w:rsid w:val="4E5C4152"/>
    <w:rsid w:val="4E5E2659"/>
    <w:rsid w:val="4E630449"/>
    <w:rsid w:val="4E6358DA"/>
    <w:rsid w:val="4E650709"/>
    <w:rsid w:val="4E6B274D"/>
    <w:rsid w:val="4E6C5A1E"/>
    <w:rsid w:val="4E6E64BB"/>
    <w:rsid w:val="4E716872"/>
    <w:rsid w:val="4E724CEA"/>
    <w:rsid w:val="4E741BA3"/>
    <w:rsid w:val="4E766588"/>
    <w:rsid w:val="4E7926A9"/>
    <w:rsid w:val="4E7E6F6B"/>
    <w:rsid w:val="4E804EEA"/>
    <w:rsid w:val="4E8F13F8"/>
    <w:rsid w:val="4E8F5D71"/>
    <w:rsid w:val="4E964322"/>
    <w:rsid w:val="4E9C03C1"/>
    <w:rsid w:val="4E9F09CD"/>
    <w:rsid w:val="4EA03C67"/>
    <w:rsid w:val="4EA21CBF"/>
    <w:rsid w:val="4EB06DFF"/>
    <w:rsid w:val="4EB91190"/>
    <w:rsid w:val="4EB936BD"/>
    <w:rsid w:val="4EBB5F26"/>
    <w:rsid w:val="4EC22B3A"/>
    <w:rsid w:val="4ED141EC"/>
    <w:rsid w:val="4EE334F2"/>
    <w:rsid w:val="4EE36783"/>
    <w:rsid w:val="4EE400C2"/>
    <w:rsid w:val="4EE85E61"/>
    <w:rsid w:val="4EEB2DA9"/>
    <w:rsid w:val="4EF32E4E"/>
    <w:rsid w:val="4F0257D9"/>
    <w:rsid w:val="4F0B3174"/>
    <w:rsid w:val="4F0C0C9A"/>
    <w:rsid w:val="4F1661D3"/>
    <w:rsid w:val="4F1B1F16"/>
    <w:rsid w:val="4F286DB8"/>
    <w:rsid w:val="4F2D763D"/>
    <w:rsid w:val="4F30518D"/>
    <w:rsid w:val="4F311ED3"/>
    <w:rsid w:val="4F3A1092"/>
    <w:rsid w:val="4F3D70A6"/>
    <w:rsid w:val="4F486F57"/>
    <w:rsid w:val="4F507229"/>
    <w:rsid w:val="4F513BA5"/>
    <w:rsid w:val="4F6463E1"/>
    <w:rsid w:val="4F6E54B1"/>
    <w:rsid w:val="4F7825F1"/>
    <w:rsid w:val="4F7831BE"/>
    <w:rsid w:val="4F7978D6"/>
    <w:rsid w:val="4F8F31FB"/>
    <w:rsid w:val="4F9273F2"/>
    <w:rsid w:val="4F9B3901"/>
    <w:rsid w:val="4FA074CC"/>
    <w:rsid w:val="4FAC7D88"/>
    <w:rsid w:val="4FB215B3"/>
    <w:rsid w:val="4FB42D87"/>
    <w:rsid w:val="4FB45217"/>
    <w:rsid w:val="4FB65F61"/>
    <w:rsid w:val="4FB75C78"/>
    <w:rsid w:val="4FC15393"/>
    <w:rsid w:val="4FC311A2"/>
    <w:rsid w:val="4FD7056E"/>
    <w:rsid w:val="4FDD43E5"/>
    <w:rsid w:val="4FE0062D"/>
    <w:rsid w:val="4FE237A9"/>
    <w:rsid w:val="4FE24927"/>
    <w:rsid w:val="4FEA6D37"/>
    <w:rsid w:val="4FEA7360"/>
    <w:rsid w:val="4FF268D4"/>
    <w:rsid w:val="4FF97471"/>
    <w:rsid w:val="500C0C41"/>
    <w:rsid w:val="50114125"/>
    <w:rsid w:val="501228E1"/>
    <w:rsid w:val="50151DD1"/>
    <w:rsid w:val="502D0EC8"/>
    <w:rsid w:val="5031477D"/>
    <w:rsid w:val="50334053"/>
    <w:rsid w:val="503376E0"/>
    <w:rsid w:val="50354221"/>
    <w:rsid w:val="504338E1"/>
    <w:rsid w:val="50433E48"/>
    <w:rsid w:val="504B2837"/>
    <w:rsid w:val="504B57F2"/>
    <w:rsid w:val="504D0CA5"/>
    <w:rsid w:val="505234CE"/>
    <w:rsid w:val="5055167D"/>
    <w:rsid w:val="505913A8"/>
    <w:rsid w:val="5059532A"/>
    <w:rsid w:val="5060450B"/>
    <w:rsid w:val="506272F9"/>
    <w:rsid w:val="50670742"/>
    <w:rsid w:val="50702FF2"/>
    <w:rsid w:val="50726A1D"/>
    <w:rsid w:val="50731F56"/>
    <w:rsid w:val="50827466"/>
    <w:rsid w:val="5086087C"/>
    <w:rsid w:val="508A5E33"/>
    <w:rsid w:val="50A70C7B"/>
    <w:rsid w:val="50A91831"/>
    <w:rsid w:val="50AC766C"/>
    <w:rsid w:val="50B05655"/>
    <w:rsid w:val="50C814D0"/>
    <w:rsid w:val="50D03975"/>
    <w:rsid w:val="50D2029B"/>
    <w:rsid w:val="50D77EFB"/>
    <w:rsid w:val="50DB0924"/>
    <w:rsid w:val="50DE21C3"/>
    <w:rsid w:val="50E02F87"/>
    <w:rsid w:val="50E267AF"/>
    <w:rsid w:val="50E9001E"/>
    <w:rsid w:val="50F87728"/>
    <w:rsid w:val="50F934AB"/>
    <w:rsid w:val="51031BD4"/>
    <w:rsid w:val="51037E7B"/>
    <w:rsid w:val="510658D0"/>
    <w:rsid w:val="512272FC"/>
    <w:rsid w:val="51257DF2"/>
    <w:rsid w:val="5129400B"/>
    <w:rsid w:val="512A34AC"/>
    <w:rsid w:val="512E723C"/>
    <w:rsid w:val="51342B21"/>
    <w:rsid w:val="514716BD"/>
    <w:rsid w:val="514E5B92"/>
    <w:rsid w:val="51544004"/>
    <w:rsid w:val="516E659B"/>
    <w:rsid w:val="51710442"/>
    <w:rsid w:val="51740B14"/>
    <w:rsid w:val="5176594C"/>
    <w:rsid w:val="51767214"/>
    <w:rsid w:val="517E267F"/>
    <w:rsid w:val="51813E15"/>
    <w:rsid w:val="518603B5"/>
    <w:rsid w:val="518C0D09"/>
    <w:rsid w:val="518D7D0A"/>
    <w:rsid w:val="518F0997"/>
    <w:rsid w:val="51926224"/>
    <w:rsid w:val="5194082A"/>
    <w:rsid w:val="519715E5"/>
    <w:rsid w:val="519B00B4"/>
    <w:rsid w:val="519B55F1"/>
    <w:rsid w:val="519D2F0D"/>
    <w:rsid w:val="51B51175"/>
    <w:rsid w:val="51B74D7E"/>
    <w:rsid w:val="51C159B6"/>
    <w:rsid w:val="51CE5807"/>
    <w:rsid w:val="51D81084"/>
    <w:rsid w:val="51D91B36"/>
    <w:rsid w:val="51DB56C1"/>
    <w:rsid w:val="51E35AE3"/>
    <w:rsid w:val="51E4096E"/>
    <w:rsid w:val="51E7154B"/>
    <w:rsid w:val="51EB75A1"/>
    <w:rsid w:val="51F15F26"/>
    <w:rsid w:val="51F44508"/>
    <w:rsid w:val="51FA00AC"/>
    <w:rsid w:val="51FD1A46"/>
    <w:rsid w:val="51FE5510"/>
    <w:rsid w:val="52032A1F"/>
    <w:rsid w:val="52034B4E"/>
    <w:rsid w:val="520B0D16"/>
    <w:rsid w:val="520D4538"/>
    <w:rsid w:val="520D7721"/>
    <w:rsid w:val="520E6AD8"/>
    <w:rsid w:val="5210509F"/>
    <w:rsid w:val="52167931"/>
    <w:rsid w:val="521A2B23"/>
    <w:rsid w:val="521C6B53"/>
    <w:rsid w:val="522246E0"/>
    <w:rsid w:val="52256258"/>
    <w:rsid w:val="522D2352"/>
    <w:rsid w:val="523E4D11"/>
    <w:rsid w:val="523E4F8E"/>
    <w:rsid w:val="524D285C"/>
    <w:rsid w:val="524E6287"/>
    <w:rsid w:val="52506DBA"/>
    <w:rsid w:val="525B6299"/>
    <w:rsid w:val="526B217C"/>
    <w:rsid w:val="527A7091"/>
    <w:rsid w:val="527B2742"/>
    <w:rsid w:val="528C4D64"/>
    <w:rsid w:val="5293387B"/>
    <w:rsid w:val="529A0B05"/>
    <w:rsid w:val="529A4B46"/>
    <w:rsid w:val="529D0FB1"/>
    <w:rsid w:val="52A0094B"/>
    <w:rsid w:val="52A02CA6"/>
    <w:rsid w:val="52A933F4"/>
    <w:rsid w:val="52AD4542"/>
    <w:rsid w:val="52B803D4"/>
    <w:rsid w:val="52BC7B94"/>
    <w:rsid w:val="52C8137C"/>
    <w:rsid w:val="52C852DC"/>
    <w:rsid w:val="52CA25D7"/>
    <w:rsid w:val="52D3730D"/>
    <w:rsid w:val="52D6707C"/>
    <w:rsid w:val="52D715BF"/>
    <w:rsid w:val="52D74592"/>
    <w:rsid w:val="52EE1726"/>
    <w:rsid w:val="52F0582B"/>
    <w:rsid w:val="52F932E4"/>
    <w:rsid w:val="530715CC"/>
    <w:rsid w:val="53073C53"/>
    <w:rsid w:val="530B6611"/>
    <w:rsid w:val="531E748C"/>
    <w:rsid w:val="532365B3"/>
    <w:rsid w:val="532A16EF"/>
    <w:rsid w:val="532A1835"/>
    <w:rsid w:val="534606FD"/>
    <w:rsid w:val="53464C04"/>
    <w:rsid w:val="534C4271"/>
    <w:rsid w:val="534F5106"/>
    <w:rsid w:val="53506F9C"/>
    <w:rsid w:val="535844AE"/>
    <w:rsid w:val="535D3873"/>
    <w:rsid w:val="53652699"/>
    <w:rsid w:val="53673949"/>
    <w:rsid w:val="537D5CC3"/>
    <w:rsid w:val="538D20FE"/>
    <w:rsid w:val="5394000B"/>
    <w:rsid w:val="539B614B"/>
    <w:rsid w:val="53A25B50"/>
    <w:rsid w:val="53AB6B4B"/>
    <w:rsid w:val="53BD3728"/>
    <w:rsid w:val="53BF0089"/>
    <w:rsid w:val="53C2102F"/>
    <w:rsid w:val="53C733FF"/>
    <w:rsid w:val="53CE6C4F"/>
    <w:rsid w:val="53D32F4C"/>
    <w:rsid w:val="53D578AD"/>
    <w:rsid w:val="53DA4EC3"/>
    <w:rsid w:val="53E43F94"/>
    <w:rsid w:val="53E943FA"/>
    <w:rsid w:val="53EA127A"/>
    <w:rsid w:val="53F77456"/>
    <w:rsid w:val="53F86FFD"/>
    <w:rsid w:val="53F96E79"/>
    <w:rsid w:val="53FB6FBC"/>
    <w:rsid w:val="540B1521"/>
    <w:rsid w:val="541016D7"/>
    <w:rsid w:val="54120B01"/>
    <w:rsid w:val="5414351A"/>
    <w:rsid w:val="5418408A"/>
    <w:rsid w:val="5425781E"/>
    <w:rsid w:val="54286227"/>
    <w:rsid w:val="542B7F75"/>
    <w:rsid w:val="543179D7"/>
    <w:rsid w:val="54322F51"/>
    <w:rsid w:val="5437417A"/>
    <w:rsid w:val="543C5B7E"/>
    <w:rsid w:val="544417A6"/>
    <w:rsid w:val="54462761"/>
    <w:rsid w:val="546574A5"/>
    <w:rsid w:val="547C51E1"/>
    <w:rsid w:val="54813FA6"/>
    <w:rsid w:val="54980AB8"/>
    <w:rsid w:val="549D7DD7"/>
    <w:rsid w:val="54A1027C"/>
    <w:rsid w:val="54B003AC"/>
    <w:rsid w:val="54B971CF"/>
    <w:rsid w:val="54BA17F7"/>
    <w:rsid w:val="54C37C97"/>
    <w:rsid w:val="54CF56D2"/>
    <w:rsid w:val="54D25DFF"/>
    <w:rsid w:val="54D77655"/>
    <w:rsid w:val="54DA0A17"/>
    <w:rsid w:val="54DA314C"/>
    <w:rsid w:val="54DE09E3"/>
    <w:rsid w:val="54DF14FD"/>
    <w:rsid w:val="54E176A1"/>
    <w:rsid w:val="54EB3100"/>
    <w:rsid w:val="54F8584D"/>
    <w:rsid w:val="54FB641E"/>
    <w:rsid w:val="54FF0BD6"/>
    <w:rsid w:val="55055D38"/>
    <w:rsid w:val="551C5D08"/>
    <w:rsid w:val="551D2366"/>
    <w:rsid w:val="551E27EC"/>
    <w:rsid w:val="55261F0F"/>
    <w:rsid w:val="55264138"/>
    <w:rsid w:val="552B174F"/>
    <w:rsid w:val="552D6AD5"/>
    <w:rsid w:val="55313209"/>
    <w:rsid w:val="554F6145"/>
    <w:rsid w:val="555860E4"/>
    <w:rsid w:val="555E5F59"/>
    <w:rsid w:val="556077A4"/>
    <w:rsid w:val="556167E5"/>
    <w:rsid w:val="55625BB7"/>
    <w:rsid w:val="5564434A"/>
    <w:rsid w:val="55853555"/>
    <w:rsid w:val="558A2919"/>
    <w:rsid w:val="558C36CF"/>
    <w:rsid w:val="55937CCA"/>
    <w:rsid w:val="559B62CE"/>
    <w:rsid w:val="559D264C"/>
    <w:rsid w:val="559E5653"/>
    <w:rsid w:val="55AC6D33"/>
    <w:rsid w:val="55B16389"/>
    <w:rsid w:val="55B53ECB"/>
    <w:rsid w:val="55C0458D"/>
    <w:rsid w:val="55C8253D"/>
    <w:rsid w:val="55CC214F"/>
    <w:rsid w:val="55D6052F"/>
    <w:rsid w:val="55DF6811"/>
    <w:rsid w:val="55F04CC1"/>
    <w:rsid w:val="55F83D27"/>
    <w:rsid w:val="56064377"/>
    <w:rsid w:val="560B0A1E"/>
    <w:rsid w:val="560D6AAA"/>
    <w:rsid w:val="56143431"/>
    <w:rsid w:val="56187F25"/>
    <w:rsid w:val="561F7505"/>
    <w:rsid w:val="5621502B"/>
    <w:rsid w:val="56227A14"/>
    <w:rsid w:val="562C47CB"/>
    <w:rsid w:val="56302667"/>
    <w:rsid w:val="563263D1"/>
    <w:rsid w:val="563C7020"/>
    <w:rsid w:val="563D763F"/>
    <w:rsid w:val="564231F4"/>
    <w:rsid w:val="564367C8"/>
    <w:rsid w:val="564927D4"/>
    <w:rsid w:val="564B02FA"/>
    <w:rsid w:val="564E7DEA"/>
    <w:rsid w:val="566B6891"/>
    <w:rsid w:val="566C5399"/>
    <w:rsid w:val="56774D65"/>
    <w:rsid w:val="56811BA0"/>
    <w:rsid w:val="56862410"/>
    <w:rsid w:val="568935E5"/>
    <w:rsid w:val="56951575"/>
    <w:rsid w:val="56A2027B"/>
    <w:rsid w:val="56A754A3"/>
    <w:rsid w:val="56A874FB"/>
    <w:rsid w:val="56C06025"/>
    <w:rsid w:val="56CB2C7F"/>
    <w:rsid w:val="56CC72D4"/>
    <w:rsid w:val="56D14B06"/>
    <w:rsid w:val="56D702CC"/>
    <w:rsid w:val="56D96F09"/>
    <w:rsid w:val="56DA7D27"/>
    <w:rsid w:val="56DD4C84"/>
    <w:rsid w:val="56FB7A03"/>
    <w:rsid w:val="570649E2"/>
    <w:rsid w:val="570D1A54"/>
    <w:rsid w:val="571166E4"/>
    <w:rsid w:val="571750F0"/>
    <w:rsid w:val="572172AD"/>
    <w:rsid w:val="572740F5"/>
    <w:rsid w:val="572D4037"/>
    <w:rsid w:val="573A5A2F"/>
    <w:rsid w:val="574426F0"/>
    <w:rsid w:val="574C4DD3"/>
    <w:rsid w:val="574F5BC8"/>
    <w:rsid w:val="574F7585"/>
    <w:rsid w:val="57517B92"/>
    <w:rsid w:val="575651A9"/>
    <w:rsid w:val="575C35F5"/>
    <w:rsid w:val="575E0E78"/>
    <w:rsid w:val="576D19D8"/>
    <w:rsid w:val="576F1DC6"/>
    <w:rsid w:val="577F005B"/>
    <w:rsid w:val="57813A64"/>
    <w:rsid w:val="57825D15"/>
    <w:rsid w:val="57970874"/>
    <w:rsid w:val="57AE0625"/>
    <w:rsid w:val="57B572B3"/>
    <w:rsid w:val="57B707B8"/>
    <w:rsid w:val="57BE4AFC"/>
    <w:rsid w:val="57CA7841"/>
    <w:rsid w:val="57E83927"/>
    <w:rsid w:val="57EA5947"/>
    <w:rsid w:val="57F76867"/>
    <w:rsid w:val="58045615"/>
    <w:rsid w:val="580734B0"/>
    <w:rsid w:val="58091A66"/>
    <w:rsid w:val="581018BB"/>
    <w:rsid w:val="581356E9"/>
    <w:rsid w:val="58137E33"/>
    <w:rsid w:val="58144945"/>
    <w:rsid w:val="58191215"/>
    <w:rsid w:val="581C46AE"/>
    <w:rsid w:val="582E2FB1"/>
    <w:rsid w:val="58316042"/>
    <w:rsid w:val="58353BBB"/>
    <w:rsid w:val="583733A3"/>
    <w:rsid w:val="583F5821"/>
    <w:rsid w:val="5848439E"/>
    <w:rsid w:val="58490869"/>
    <w:rsid w:val="58511B64"/>
    <w:rsid w:val="585316E8"/>
    <w:rsid w:val="58535244"/>
    <w:rsid w:val="585740FD"/>
    <w:rsid w:val="5878114F"/>
    <w:rsid w:val="58987DF4"/>
    <w:rsid w:val="58AF1ED7"/>
    <w:rsid w:val="58BA73F7"/>
    <w:rsid w:val="58CE461C"/>
    <w:rsid w:val="58E65991"/>
    <w:rsid w:val="58EE1143"/>
    <w:rsid w:val="58FE5E79"/>
    <w:rsid w:val="59020B88"/>
    <w:rsid w:val="59064275"/>
    <w:rsid w:val="59077600"/>
    <w:rsid w:val="59177A83"/>
    <w:rsid w:val="591D6B56"/>
    <w:rsid w:val="59360C4E"/>
    <w:rsid w:val="59457962"/>
    <w:rsid w:val="594A6647"/>
    <w:rsid w:val="594C6863"/>
    <w:rsid w:val="59605E6B"/>
    <w:rsid w:val="59626A67"/>
    <w:rsid w:val="59636026"/>
    <w:rsid w:val="59643C4E"/>
    <w:rsid w:val="59646156"/>
    <w:rsid w:val="596A4706"/>
    <w:rsid w:val="596D31D8"/>
    <w:rsid w:val="596F42F4"/>
    <w:rsid w:val="59710078"/>
    <w:rsid w:val="597101A1"/>
    <w:rsid w:val="59763857"/>
    <w:rsid w:val="5980650D"/>
    <w:rsid w:val="598410E6"/>
    <w:rsid w:val="598A1552"/>
    <w:rsid w:val="598C4EB2"/>
    <w:rsid w:val="598D68D5"/>
    <w:rsid w:val="59957B7A"/>
    <w:rsid w:val="59B9322B"/>
    <w:rsid w:val="59C348D6"/>
    <w:rsid w:val="59C363FA"/>
    <w:rsid w:val="59D16D68"/>
    <w:rsid w:val="59D703B5"/>
    <w:rsid w:val="59D967EC"/>
    <w:rsid w:val="59DC65BC"/>
    <w:rsid w:val="59E0440D"/>
    <w:rsid w:val="59E0741D"/>
    <w:rsid w:val="59E16B83"/>
    <w:rsid w:val="59E21B57"/>
    <w:rsid w:val="59E7198F"/>
    <w:rsid w:val="59EE16C8"/>
    <w:rsid w:val="59EE3D32"/>
    <w:rsid w:val="59EF6641"/>
    <w:rsid w:val="59F16057"/>
    <w:rsid w:val="59F540E4"/>
    <w:rsid w:val="5A144CFE"/>
    <w:rsid w:val="5A24333C"/>
    <w:rsid w:val="5A2B3414"/>
    <w:rsid w:val="5A322975"/>
    <w:rsid w:val="5A33329C"/>
    <w:rsid w:val="5A383E07"/>
    <w:rsid w:val="5A4136C7"/>
    <w:rsid w:val="5A452D7F"/>
    <w:rsid w:val="5A462C6E"/>
    <w:rsid w:val="5A4A01F0"/>
    <w:rsid w:val="5A5B541E"/>
    <w:rsid w:val="5A5E44D5"/>
    <w:rsid w:val="5A67136F"/>
    <w:rsid w:val="5A6A65BC"/>
    <w:rsid w:val="5A6C10EB"/>
    <w:rsid w:val="5A712B30"/>
    <w:rsid w:val="5A740A89"/>
    <w:rsid w:val="5A7E41E2"/>
    <w:rsid w:val="5A867EA2"/>
    <w:rsid w:val="5A9B1124"/>
    <w:rsid w:val="5A9E5D13"/>
    <w:rsid w:val="5AA57221"/>
    <w:rsid w:val="5AAD174D"/>
    <w:rsid w:val="5AAE2C06"/>
    <w:rsid w:val="5AB741B0"/>
    <w:rsid w:val="5AB9595E"/>
    <w:rsid w:val="5AC368F7"/>
    <w:rsid w:val="5AC54B62"/>
    <w:rsid w:val="5AC91D62"/>
    <w:rsid w:val="5AD466D5"/>
    <w:rsid w:val="5AD85ED5"/>
    <w:rsid w:val="5ADA6362"/>
    <w:rsid w:val="5ADB7546"/>
    <w:rsid w:val="5ADE2F65"/>
    <w:rsid w:val="5AE34FA5"/>
    <w:rsid w:val="5AEB58A3"/>
    <w:rsid w:val="5AF32D0E"/>
    <w:rsid w:val="5AFB75F0"/>
    <w:rsid w:val="5B0627FD"/>
    <w:rsid w:val="5B1A35A0"/>
    <w:rsid w:val="5B1E0077"/>
    <w:rsid w:val="5B1F1123"/>
    <w:rsid w:val="5B2A75B7"/>
    <w:rsid w:val="5B321A89"/>
    <w:rsid w:val="5B344FCD"/>
    <w:rsid w:val="5B345801"/>
    <w:rsid w:val="5B4F262B"/>
    <w:rsid w:val="5B503C8B"/>
    <w:rsid w:val="5B597015"/>
    <w:rsid w:val="5B5B1162"/>
    <w:rsid w:val="5B6339F0"/>
    <w:rsid w:val="5B646318"/>
    <w:rsid w:val="5B6D486F"/>
    <w:rsid w:val="5B701C4D"/>
    <w:rsid w:val="5B7B2587"/>
    <w:rsid w:val="5B7F68E9"/>
    <w:rsid w:val="5B8241BE"/>
    <w:rsid w:val="5B833782"/>
    <w:rsid w:val="5B8A5421"/>
    <w:rsid w:val="5B9042C4"/>
    <w:rsid w:val="5B9153E8"/>
    <w:rsid w:val="5B9930FC"/>
    <w:rsid w:val="5BA678F9"/>
    <w:rsid w:val="5BC769C8"/>
    <w:rsid w:val="5BCC53DE"/>
    <w:rsid w:val="5BCD14A2"/>
    <w:rsid w:val="5BCF3EC7"/>
    <w:rsid w:val="5BDA3AC8"/>
    <w:rsid w:val="5BDE0A25"/>
    <w:rsid w:val="5BE45F76"/>
    <w:rsid w:val="5BEE31AB"/>
    <w:rsid w:val="5BEF3890"/>
    <w:rsid w:val="5BF150DC"/>
    <w:rsid w:val="5C07081F"/>
    <w:rsid w:val="5C1178F0"/>
    <w:rsid w:val="5C172F45"/>
    <w:rsid w:val="5C216541"/>
    <w:rsid w:val="5C245875"/>
    <w:rsid w:val="5C302BB6"/>
    <w:rsid w:val="5C3774BC"/>
    <w:rsid w:val="5C381653"/>
    <w:rsid w:val="5C3A5B90"/>
    <w:rsid w:val="5C3E7FB9"/>
    <w:rsid w:val="5C423F4D"/>
    <w:rsid w:val="5C520714"/>
    <w:rsid w:val="5C576C04"/>
    <w:rsid w:val="5C5A3746"/>
    <w:rsid w:val="5C64301A"/>
    <w:rsid w:val="5C643EC4"/>
    <w:rsid w:val="5C6F015D"/>
    <w:rsid w:val="5C716EBC"/>
    <w:rsid w:val="5C7C525E"/>
    <w:rsid w:val="5C7E7DBC"/>
    <w:rsid w:val="5C8711F1"/>
    <w:rsid w:val="5C8E1C0C"/>
    <w:rsid w:val="5C964DE5"/>
    <w:rsid w:val="5C98043B"/>
    <w:rsid w:val="5CA252B6"/>
    <w:rsid w:val="5CA94058"/>
    <w:rsid w:val="5CAC5854"/>
    <w:rsid w:val="5CB00852"/>
    <w:rsid w:val="5CC05CF7"/>
    <w:rsid w:val="5CE01C3E"/>
    <w:rsid w:val="5CE0310D"/>
    <w:rsid w:val="5CE214B3"/>
    <w:rsid w:val="5CE4105D"/>
    <w:rsid w:val="5CE727F2"/>
    <w:rsid w:val="5CE94710"/>
    <w:rsid w:val="5CE96649"/>
    <w:rsid w:val="5CEE3073"/>
    <w:rsid w:val="5D004ADA"/>
    <w:rsid w:val="5D02602C"/>
    <w:rsid w:val="5D0336DD"/>
    <w:rsid w:val="5D056F69"/>
    <w:rsid w:val="5D095A38"/>
    <w:rsid w:val="5D0C1DD5"/>
    <w:rsid w:val="5D0E286D"/>
    <w:rsid w:val="5D0E3312"/>
    <w:rsid w:val="5D1A116C"/>
    <w:rsid w:val="5D1F14F3"/>
    <w:rsid w:val="5D217368"/>
    <w:rsid w:val="5D271CAB"/>
    <w:rsid w:val="5D2E7450"/>
    <w:rsid w:val="5D375EBF"/>
    <w:rsid w:val="5D3F72BB"/>
    <w:rsid w:val="5D4030EE"/>
    <w:rsid w:val="5D4039CD"/>
    <w:rsid w:val="5D4133FD"/>
    <w:rsid w:val="5D4402E8"/>
    <w:rsid w:val="5D4B5084"/>
    <w:rsid w:val="5D620EC7"/>
    <w:rsid w:val="5D6E78EB"/>
    <w:rsid w:val="5D765CDF"/>
    <w:rsid w:val="5D787D05"/>
    <w:rsid w:val="5D7B43E9"/>
    <w:rsid w:val="5D7C0A1F"/>
    <w:rsid w:val="5D7E092B"/>
    <w:rsid w:val="5D814602"/>
    <w:rsid w:val="5D885B92"/>
    <w:rsid w:val="5D944E3D"/>
    <w:rsid w:val="5D9B7AC6"/>
    <w:rsid w:val="5DA42E7F"/>
    <w:rsid w:val="5DB65DEE"/>
    <w:rsid w:val="5DBD06E4"/>
    <w:rsid w:val="5DCB2C54"/>
    <w:rsid w:val="5DD45333"/>
    <w:rsid w:val="5DEB5ACA"/>
    <w:rsid w:val="5DFB3FA8"/>
    <w:rsid w:val="5DFB449F"/>
    <w:rsid w:val="5E023BDE"/>
    <w:rsid w:val="5E0F7D75"/>
    <w:rsid w:val="5E13419A"/>
    <w:rsid w:val="5E1B26F7"/>
    <w:rsid w:val="5E244F3C"/>
    <w:rsid w:val="5E3D0D53"/>
    <w:rsid w:val="5E432320"/>
    <w:rsid w:val="5E500321"/>
    <w:rsid w:val="5E5D506F"/>
    <w:rsid w:val="5E666DEB"/>
    <w:rsid w:val="5E6F1F75"/>
    <w:rsid w:val="5E781087"/>
    <w:rsid w:val="5E7A5C21"/>
    <w:rsid w:val="5E7E4ECB"/>
    <w:rsid w:val="5E80062B"/>
    <w:rsid w:val="5E8720EC"/>
    <w:rsid w:val="5E8F3348"/>
    <w:rsid w:val="5E934209"/>
    <w:rsid w:val="5E9B2B16"/>
    <w:rsid w:val="5EAE4F11"/>
    <w:rsid w:val="5EB01D78"/>
    <w:rsid w:val="5EBD764C"/>
    <w:rsid w:val="5EBE23F5"/>
    <w:rsid w:val="5EC90063"/>
    <w:rsid w:val="5ECC0B82"/>
    <w:rsid w:val="5ECF0AE7"/>
    <w:rsid w:val="5EE27322"/>
    <w:rsid w:val="5EE51763"/>
    <w:rsid w:val="5EF711D6"/>
    <w:rsid w:val="5EFA466C"/>
    <w:rsid w:val="5EFC0793"/>
    <w:rsid w:val="5F125E59"/>
    <w:rsid w:val="5F202B5B"/>
    <w:rsid w:val="5F285C08"/>
    <w:rsid w:val="5F2A15D3"/>
    <w:rsid w:val="5F300B81"/>
    <w:rsid w:val="5F3B02CD"/>
    <w:rsid w:val="5F3C4C84"/>
    <w:rsid w:val="5F3C558E"/>
    <w:rsid w:val="5F4619C0"/>
    <w:rsid w:val="5F473629"/>
    <w:rsid w:val="5F493CAF"/>
    <w:rsid w:val="5F4A1A93"/>
    <w:rsid w:val="5F4F647C"/>
    <w:rsid w:val="5F591208"/>
    <w:rsid w:val="5F593296"/>
    <w:rsid w:val="5F5D6C02"/>
    <w:rsid w:val="5F622211"/>
    <w:rsid w:val="5F6E0BB6"/>
    <w:rsid w:val="5F76780E"/>
    <w:rsid w:val="5F781B6B"/>
    <w:rsid w:val="5F787EB9"/>
    <w:rsid w:val="5F7A4AA1"/>
    <w:rsid w:val="5F810E0E"/>
    <w:rsid w:val="5F8622F4"/>
    <w:rsid w:val="5F8A42C1"/>
    <w:rsid w:val="5F8F0B83"/>
    <w:rsid w:val="5F9040D2"/>
    <w:rsid w:val="5F9062D0"/>
    <w:rsid w:val="5F984189"/>
    <w:rsid w:val="5F9B360C"/>
    <w:rsid w:val="5F9E76ED"/>
    <w:rsid w:val="5FA568C3"/>
    <w:rsid w:val="5FA82C2B"/>
    <w:rsid w:val="5FAA6092"/>
    <w:rsid w:val="5FB00B8B"/>
    <w:rsid w:val="5FB23198"/>
    <w:rsid w:val="5FBB38DA"/>
    <w:rsid w:val="5FC66549"/>
    <w:rsid w:val="5FCD2615"/>
    <w:rsid w:val="5FD45311"/>
    <w:rsid w:val="5FD87942"/>
    <w:rsid w:val="5FE01AB3"/>
    <w:rsid w:val="5FE1582B"/>
    <w:rsid w:val="5FE315A4"/>
    <w:rsid w:val="5FED3527"/>
    <w:rsid w:val="5FFE1F39"/>
    <w:rsid w:val="60061817"/>
    <w:rsid w:val="60107EBF"/>
    <w:rsid w:val="60133D5D"/>
    <w:rsid w:val="6013678C"/>
    <w:rsid w:val="60143F46"/>
    <w:rsid w:val="601620D0"/>
    <w:rsid w:val="601C22D6"/>
    <w:rsid w:val="601E25DC"/>
    <w:rsid w:val="60255C2D"/>
    <w:rsid w:val="602A0F80"/>
    <w:rsid w:val="602F2A3B"/>
    <w:rsid w:val="6038174F"/>
    <w:rsid w:val="603D15B1"/>
    <w:rsid w:val="604007A4"/>
    <w:rsid w:val="60400FED"/>
    <w:rsid w:val="604E5D65"/>
    <w:rsid w:val="60566219"/>
    <w:rsid w:val="60684C72"/>
    <w:rsid w:val="606D6239"/>
    <w:rsid w:val="60752218"/>
    <w:rsid w:val="607B17DC"/>
    <w:rsid w:val="607B5C80"/>
    <w:rsid w:val="608C39E9"/>
    <w:rsid w:val="609870D1"/>
    <w:rsid w:val="60A81DF0"/>
    <w:rsid w:val="60AE7BF6"/>
    <w:rsid w:val="60B43074"/>
    <w:rsid w:val="60B83C29"/>
    <w:rsid w:val="60DE255B"/>
    <w:rsid w:val="60DF620F"/>
    <w:rsid w:val="60E15E51"/>
    <w:rsid w:val="60EA5FA9"/>
    <w:rsid w:val="60FE4F3D"/>
    <w:rsid w:val="611807AB"/>
    <w:rsid w:val="611D3CED"/>
    <w:rsid w:val="61225356"/>
    <w:rsid w:val="6126670A"/>
    <w:rsid w:val="6128491C"/>
    <w:rsid w:val="61291238"/>
    <w:rsid w:val="612C57F2"/>
    <w:rsid w:val="612D40FE"/>
    <w:rsid w:val="613C441A"/>
    <w:rsid w:val="613F280A"/>
    <w:rsid w:val="614940FA"/>
    <w:rsid w:val="61500EBB"/>
    <w:rsid w:val="61505D6B"/>
    <w:rsid w:val="61551558"/>
    <w:rsid w:val="616111A6"/>
    <w:rsid w:val="61662CEA"/>
    <w:rsid w:val="616754E3"/>
    <w:rsid w:val="616B1762"/>
    <w:rsid w:val="61714392"/>
    <w:rsid w:val="618172C6"/>
    <w:rsid w:val="6182233B"/>
    <w:rsid w:val="618D5457"/>
    <w:rsid w:val="61906BE0"/>
    <w:rsid w:val="61920AE0"/>
    <w:rsid w:val="61931025"/>
    <w:rsid w:val="61952D71"/>
    <w:rsid w:val="619E21C9"/>
    <w:rsid w:val="61A53F94"/>
    <w:rsid w:val="61C55405"/>
    <w:rsid w:val="61C64A98"/>
    <w:rsid w:val="61DE294D"/>
    <w:rsid w:val="61E9061F"/>
    <w:rsid w:val="61EC4FF4"/>
    <w:rsid w:val="61F42BA5"/>
    <w:rsid w:val="61F97F7D"/>
    <w:rsid w:val="62005162"/>
    <w:rsid w:val="62053D07"/>
    <w:rsid w:val="620A038B"/>
    <w:rsid w:val="620F48D2"/>
    <w:rsid w:val="620F64B0"/>
    <w:rsid w:val="62172BB5"/>
    <w:rsid w:val="621B323F"/>
    <w:rsid w:val="62202F5C"/>
    <w:rsid w:val="62206ADF"/>
    <w:rsid w:val="62266FE4"/>
    <w:rsid w:val="623624FA"/>
    <w:rsid w:val="62367396"/>
    <w:rsid w:val="623943FC"/>
    <w:rsid w:val="623A666A"/>
    <w:rsid w:val="623C143F"/>
    <w:rsid w:val="623E3FDC"/>
    <w:rsid w:val="62403FBF"/>
    <w:rsid w:val="62436329"/>
    <w:rsid w:val="62463448"/>
    <w:rsid w:val="62471758"/>
    <w:rsid w:val="624D3512"/>
    <w:rsid w:val="62511C2E"/>
    <w:rsid w:val="6254727F"/>
    <w:rsid w:val="62856942"/>
    <w:rsid w:val="62867024"/>
    <w:rsid w:val="628B7C2E"/>
    <w:rsid w:val="62964FD1"/>
    <w:rsid w:val="62966DA1"/>
    <w:rsid w:val="62A56BFD"/>
    <w:rsid w:val="62A571F6"/>
    <w:rsid w:val="62AE1ABF"/>
    <w:rsid w:val="62B14ED6"/>
    <w:rsid w:val="62B17737"/>
    <w:rsid w:val="62B95DB6"/>
    <w:rsid w:val="62CD31F1"/>
    <w:rsid w:val="62DB0C58"/>
    <w:rsid w:val="62DE3973"/>
    <w:rsid w:val="62E01DCA"/>
    <w:rsid w:val="62FB09B2"/>
    <w:rsid w:val="62FF0D74"/>
    <w:rsid w:val="62FF45DF"/>
    <w:rsid w:val="630945DD"/>
    <w:rsid w:val="630A0481"/>
    <w:rsid w:val="630A5099"/>
    <w:rsid w:val="630C2BBF"/>
    <w:rsid w:val="63113EFB"/>
    <w:rsid w:val="63164B60"/>
    <w:rsid w:val="63190183"/>
    <w:rsid w:val="631B72A6"/>
    <w:rsid w:val="631D35FB"/>
    <w:rsid w:val="63350D6A"/>
    <w:rsid w:val="634265E1"/>
    <w:rsid w:val="63473C62"/>
    <w:rsid w:val="63473DD9"/>
    <w:rsid w:val="634C41F6"/>
    <w:rsid w:val="63537047"/>
    <w:rsid w:val="637251F2"/>
    <w:rsid w:val="637B3FC1"/>
    <w:rsid w:val="638E5BFC"/>
    <w:rsid w:val="639041B5"/>
    <w:rsid w:val="639826A5"/>
    <w:rsid w:val="63A24E32"/>
    <w:rsid w:val="63AB2853"/>
    <w:rsid w:val="63B22608"/>
    <w:rsid w:val="63B3128D"/>
    <w:rsid w:val="63B419F4"/>
    <w:rsid w:val="63B70D7D"/>
    <w:rsid w:val="63B92638"/>
    <w:rsid w:val="63B95FC0"/>
    <w:rsid w:val="63D13A3D"/>
    <w:rsid w:val="63D423E8"/>
    <w:rsid w:val="63D4385D"/>
    <w:rsid w:val="63D52EA1"/>
    <w:rsid w:val="63E63198"/>
    <w:rsid w:val="63E97A49"/>
    <w:rsid w:val="63F45CCF"/>
    <w:rsid w:val="63F77E67"/>
    <w:rsid w:val="63FE2B35"/>
    <w:rsid w:val="64033FC2"/>
    <w:rsid w:val="64065861"/>
    <w:rsid w:val="64124205"/>
    <w:rsid w:val="64162FEB"/>
    <w:rsid w:val="64184256"/>
    <w:rsid w:val="641C399D"/>
    <w:rsid w:val="641F76B0"/>
    <w:rsid w:val="64252C81"/>
    <w:rsid w:val="643248A8"/>
    <w:rsid w:val="64333196"/>
    <w:rsid w:val="64374988"/>
    <w:rsid w:val="6438344B"/>
    <w:rsid w:val="64397EC6"/>
    <w:rsid w:val="643A375C"/>
    <w:rsid w:val="643D1673"/>
    <w:rsid w:val="64430863"/>
    <w:rsid w:val="644424FC"/>
    <w:rsid w:val="64474BC7"/>
    <w:rsid w:val="64496080"/>
    <w:rsid w:val="64557C98"/>
    <w:rsid w:val="64567AAB"/>
    <w:rsid w:val="64611418"/>
    <w:rsid w:val="64634A61"/>
    <w:rsid w:val="64763F71"/>
    <w:rsid w:val="6477080D"/>
    <w:rsid w:val="64844B9D"/>
    <w:rsid w:val="64880192"/>
    <w:rsid w:val="64A32DD4"/>
    <w:rsid w:val="64A532CB"/>
    <w:rsid w:val="64AA2690"/>
    <w:rsid w:val="64AE6493"/>
    <w:rsid w:val="64B60A0D"/>
    <w:rsid w:val="64BA48E5"/>
    <w:rsid w:val="64BA4F13"/>
    <w:rsid w:val="64C54001"/>
    <w:rsid w:val="64EB5977"/>
    <w:rsid w:val="64F1057E"/>
    <w:rsid w:val="64F61D79"/>
    <w:rsid w:val="64FE29DC"/>
    <w:rsid w:val="65002088"/>
    <w:rsid w:val="6501461E"/>
    <w:rsid w:val="65015E87"/>
    <w:rsid w:val="65124F75"/>
    <w:rsid w:val="65150451"/>
    <w:rsid w:val="65174517"/>
    <w:rsid w:val="651850C9"/>
    <w:rsid w:val="651B335D"/>
    <w:rsid w:val="651F60C8"/>
    <w:rsid w:val="65215B8D"/>
    <w:rsid w:val="65272CBA"/>
    <w:rsid w:val="652C579B"/>
    <w:rsid w:val="653136A0"/>
    <w:rsid w:val="65367B2F"/>
    <w:rsid w:val="654839FF"/>
    <w:rsid w:val="654C329E"/>
    <w:rsid w:val="655D2A80"/>
    <w:rsid w:val="65655C8C"/>
    <w:rsid w:val="6571175B"/>
    <w:rsid w:val="657617E2"/>
    <w:rsid w:val="65783DA2"/>
    <w:rsid w:val="65786E91"/>
    <w:rsid w:val="657E483C"/>
    <w:rsid w:val="658B2578"/>
    <w:rsid w:val="658D3F04"/>
    <w:rsid w:val="6593721F"/>
    <w:rsid w:val="65A61523"/>
    <w:rsid w:val="65AC5B2F"/>
    <w:rsid w:val="65B340A9"/>
    <w:rsid w:val="65B57D5C"/>
    <w:rsid w:val="65BC0A1E"/>
    <w:rsid w:val="65C717D7"/>
    <w:rsid w:val="65C754A5"/>
    <w:rsid w:val="65C9123C"/>
    <w:rsid w:val="65D852E6"/>
    <w:rsid w:val="65DA63C4"/>
    <w:rsid w:val="65DB4066"/>
    <w:rsid w:val="65F32236"/>
    <w:rsid w:val="65F4201A"/>
    <w:rsid w:val="65F94C13"/>
    <w:rsid w:val="6600182C"/>
    <w:rsid w:val="660108B5"/>
    <w:rsid w:val="660B0A00"/>
    <w:rsid w:val="660B510F"/>
    <w:rsid w:val="660C25E6"/>
    <w:rsid w:val="66111D58"/>
    <w:rsid w:val="66195DC1"/>
    <w:rsid w:val="661C1391"/>
    <w:rsid w:val="661D6110"/>
    <w:rsid w:val="66206E25"/>
    <w:rsid w:val="66207B04"/>
    <w:rsid w:val="66287A2C"/>
    <w:rsid w:val="66320049"/>
    <w:rsid w:val="663B05DB"/>
    <w:rsid w:val="66400FE5"/>
    <w:rsid w:val="665F6024"/>
    <w:rsid w:val="666D7E19"/>
    <w:rsid w:val="66826BD1"/>
    <w:rsid w:val="66833198"/>
    <w:rsid w:val="66844813"/>
    <w:rsid w:val="668B6AC4"/>
    <w:rsid w:val="66901922"/>
    <w:rsid w:val="66903B07"/>
    <w:rsid w:val="66925EB8"/>
    <w:rsid w:val="669A63A2"/>
    <w:rsid w:val="66AC4AD3"/>
    <w:rsid w:val="66AD6467"/>
    <w:rsid w:val="66B5531C"/>
    <w:rsid w:val="66B62690"/>
    <w:rsid w:val="66C261B6"/>
    <w:rsid w:val="66C739CD"/>
    <w:rsid w:val="66CE0A06"/>
    <w:rsid w:val="66D03016"/>
    <w:rsid w:val="66D22E06"/>
    <w:rsid w:val="66DB6264"/>
    <w:rsid w:val="66DC6D4D"/>
    <w:rsid w:val="66DC6E42"/>
    <w:rsid w:val="66E405DB"/>
    <w:rsid w:val="66ED3C09"/>
    <w:rsid w:val="66EE7FA0"/>
    <w:rsid w:val="66F067BE"/>
    <w:rsid w:val="67094383"/>
    <w:rsid w:val="670A52B3"/>
    <w:rsid w:val="670A6E77"/>
    <w:rsid w:val="670C09AE"/>
    <w:rsid w:val="6710456D"/>
    <w:rsid w:val="6719634A"/>
    <w:rsid w:val="671D0390"/>
    <w:rsid w:val="671F6E1E"/>
    <w:rsid w:val="672310F1"/>
    <w:rsid w:val="672E75A8"/>
    <w:rsid w:val="67312D4B"/>
    <w:rsid w:val="6736568B"/>
    <w:rsid w:val="67483F8B"/>
    <w:rsid w:val="67560B30"/>
    <w:rsid w:val="675862D3"/>
    <w:rsid w:val="676034DA"/>
    <w:rsid w:val="67613BD7"/>
    <w:rsid w:val="676637DC"/>
    <w:rsid w:val="676B40F0"/>
    <w:rsid w:val="676E7D45"/>
    <w:rsid w:val="676F359E"/>
    <w:rsid w:val="677B1838"/>
    <w:rsid w:val="67931B01"/>
    <w:rsid w:val="6793354D"/>
    <w:rsid w:val="67960516"/>
    <w:rsid w:val="67966EFB"/>
    <w:rsid w:val="67A54D96"/>
    <w:rsid w:val="67B97DDD"/>
    <w:rsid w:val="67BA56CA"/>
    <w:rsid w:val="67C476C5"/>
    <w:rsid w:val="67CF21E8"/>
    <w:rsid w:val="67D96FFB"/>
    <w:rsid w:val="67DB6871"/>
    <w:rsid w:val="67DC5D00"/>
    <w:rsid w:val="67DF1906"/>
    <w:rsid w:val="67E260DB"/>
    <w:rsid w:val="67E44D9B"/>
    <w:rsid w:val="67EC17F0"/>
    <w:rsid w:val="67F068D9"/>
    <w:rsid w:val="67F62783"/>
    <w:rsid w:val="68021CFB"/>
    <w:rsid w:val="6804311F"/>
    <w:rsid w:val="6813262D"/>
    <w:rsid w:val="681712BE"/>
    <w:rsid w:val="681A18DB"/>
    <w:rsid w:val="6825173C"/>
    <w:rsid w:val="682C720D"/>
    <w:rsid w:val="682F23A6"/>
    <w:rsid w:val="68466CC0"/>
    <w:rsid w:val="684A1FF3"/>
    <w:rsid w:val="68581D2D"/>
    <w:rsid w:val="68776D2D"/>
    <w:rsid w:val="68831B76"/>
    <w:rsid w:val="68866F70"/>
    <w:rsid w:val="68882901"/>
    <w:rsid w:val="688A18E7"/>
    <w:rsid w:val="68906FD4"/>
    <w:rsid w:val="689375DD"/>
    <w:rsid w:val="68993C84"/>
    <w:rsid w:val="689A2A1B"/>
    <w:rsid w:val="68A06868"/>
    <w:rsid w:val="68A6006E"/>
    <w:rsid w:val="68A954D3"/>
    <w:rsid w:val="68B60266"/>
    <w:rsid w:val="68B83318"/>
    <w:rsid w:val="68BA5FA4"/>
    <w:rsid w:val="68BD419E"/>
    <w:rsid w:val="68C200F3"/>
    <w:rsid w:val="68C31F72"/>
    <w:rsid w:val="68DA26F2"/>
    <w:rsid w:val="68DB6590"/>
    <w:rsid w:val="68EE4337"/>
    <w:rsid w:val="68EF0D46"/>
    <w:rsid w:val="68F13662"/>
    <w:rsid w:val="68F35F86"/>
    <w:rsid w:val="68F9588D"/>
    <w:rsid w:val="68FA3E26"/>
    <w:rsid w:val="69022E4A"/>
    <w:rsid w:val="69102BCA"/>
    <w:rsid w:val="69152CD1"/>
    <w:rsid w:val="691A18EA"/>
    <w:rsid w:val="691B3B5C"/>
    <w:rsid w:val="691B590A"/>
    <w:rsid w:val="69201173"/>
    <w:rsid w:val="69247F10"/>
    <w:rsid w:val="69251B3C"/>
    <w:rsid w:val="69256F0C"/>
    <w:rsid w:val="692A0BF2"/>
    <w:rsid w:val="693B22FA"/>
    <w:rsid w:val="693B7250"/>
    <w:rsid w:val="6946395F"/>
    <w:rsid w:val="694A2693"/>
    <w:rsid w:val="69555FD6"/>
    <w:rsid w:val="69570D23"/>
    <w:rsid w:val="695B4482"/>
    <w:rsid w:val="695D5F23"/>
    <w:rsid w:val="69645378"/>
    <w:rsid w:val="69697AA5"/>
    <w:rsid w:val="696B2749"/>
    <w:rsid w:val="69735B3A"/>
    <w:rsid w:val="697E0618"/>
    <w:rsid w:val="698C596E"/>
    <w:rsid w:val="698F698A"/>
    <w:rsid w:val="69943AEF"/>
    <w:rsid w:val="699658D9"/>
    <w:rsid w:val="699F387F"/>
    <w:rsid w:val="69A136BA"/>
    <w:rsid w:val="69B75A35"/>
    <w:rsid w:val="69C72D1C"/>
    <w:rsid w:val="69D946CE"/>
    <w:rsid w:val="69DA7573"/>
    <w:rsid w:val="69DB0C82"/>
    <w:rsid w:val="69E95AD9"/>
    <w:rsid w:val="69F30A2B"/>
    <w:rsid w:val="6A031C3D"/>
    <w:rsid w:val="6A050368"/>
    <w:rsid w:val="6A0665BA"/>
    <w:rsid w:val="6A0D631B"/>
    <w:rsid w:val="6A10435A"/>
    <w:rsid w:val="6A143116"/>
    <w:rsid w:val="6A1B4672"/>
    <w:rsid w:val="6A1E3E00"/>
    <w:rsid w:val="6A2531A4"/>
    <w:rsid w:val="6A256453"/>
    <w:rsid w:val="6A3607E4"/>
    <w:rsid w:val="6A3E366B"/>
    <w:rsid w:val="6A465AE8"/>
    <w:rsid w:val="6A4B4337"/>
    <w:rsid w:val="6A4E3ABD"/>
    <w:rsid w:val="6A537326"/>
    <w:rsid w:val="6A582B8E"/>
    <w:rsid w:val="6A5F2C0F"/>
    <w:rsid w:val="6A6148CD"/>
    <w:rsid w:val="6A7521D2"/>
    <w:rsid w:val="6A753740"/>
    <w:rsid w:val="6A7B6884"/>
    <w:rsid w:val="6A897269"/>
    <w:rsid w:val="6A8B2B69"/>
    <w:rsid w:val="6A8D2838"/>
    <w:rsid w:val="6A927E4E"/>
    <w:rsid w:val="6A941E18"/>
    <w:rsid w:val="6A9D1A3C"/>
    <w:rsid w:val="6A9F2B47"/>
    <w:rsid w:val="6AA162E3"/>
    <w:rsid w:val="6AA302AD"/>
    <w:rsid w:val="6AA7510B"/>
    <w:rsid w:val="6AA84CA4"/>
    <w:rsid w:val="6AA85A9C"/>
    <w:rsid w:val="6AB60E92"/>
    <w:rsid w:val="6ABD75B4"/>
    <w:rsid w:val="6AC92C53"/>
    <w:rsid w:val="6AD95E4A"/>
    <w:rsid w:val="6AE12D9C"/>
    <w:rsid w:val="6AE40C95"/>
    <w:rsid w:val="6AE5157E"/>
    <w:rsid w:val="6AF92B4D"/>
    <w:rsid w:val="6AFC408F"/>
    <w:rsid w:val="6B013226"/>
    <w:rsid w:val="6B060333"/>
    <w:rsid w:val="6B0B53F5"/>
    <w:rsid w:val="6B1747F7"/>
    <w:rsid w:val="6B2A452A"/>
    <w:rsid w:val="6B3042B3"/>
    <w:rsid w:val="6B3B094E"/>
    <w:rsid w:val="6B3B396C"/>
    <w:rsid w:val="6B5222C9"/>
    <w:rsid w:val="6B5275DD"/>
    <w:rsid w:val="6B5415A7"/>
    <w:rsid w:val="6B630CAF"/>
    <w:rsid w:val="6B640CA2"/>
    <w:rsid w:val="6B641B0C"/>
    <w:rsid w:val="6B705EC9"/>
    <w:rsid w:val="6B732527"/>
    <w:rsid w:val="6B773B9B"/>
    <w:rsid w:val="6B8A4880"/>
    <w:rsid w:val="6B941029"/>
    <w:rsid w:val="6B943721"/>
    <w:rsid w:val="6B9B219D"/>
    <w:rsid w:val="6B9D77ED"/>
    <w:rsid w:val="6BA029F4"/>
    <w:rsid w:val="6BA837B5"/>
    <w:rsid w:val="6BBC1499"/>
    <w:rsid w:val="6BBE61EF"/>
    <w:rsid w:val="6BEB0291"/>
    <w:rsid w:val="6BEC6062"/>
    <w:rsid w:val="6C101264"/>
    <w:rsid w:val="6C136E8F"/>
    <w:rsid w:val="6C147F26"/>
    <w:rsid w:val="6C200D25"/>
    <w:rsid w:val="6C29246F"/>
    <w:rsid w:val="6C304795"/>
    <w:rsid w:val="6C3A254B"/>
    <w:rsid w:val="6C3C362D"/>
    <w:rsid w:val="6C400B74"/>
    <w:rsid w:val="6C402D7D"/>
    <w:rsid w:val="6C474C68"/>
    <w:rsid w:val="6C481DE1"/>
    <w:rsid w:val="6C4E249B"/>
    <w:rsid w:val="6C5850C7"/>
    <w:rsid w:val="6C6209A0"/>
    <w:rsid w:val="6C6B4DFB"/>
    <w:rsid w:val="6C7051E8"/>
    <w:rsid w:val="6C711CE5"/>
    <w:rsid w:val="6C78577D"/>
    <w:rsid w:val="6C7A0F7D"/>
    <w:rsid w:val="6C7D1A0D"/>
    <w:rsid w:val="6C7E0384"/>
    <w:rsid w:val="6C8A5F0C"/>
    <w:rsid w:val="6C9858E3"/>
    <w:rsid w:val="6C9F5705"/>
    <w:rsid w:val="6CB44F10"/>
    <w:rsid w:val="6CB55E7A"/>
    <w:rsid w:val="6CBD072C"/>
    <w:rsid w:val="6CDB1F80"/>
    <w:rsid w:val="6CDB733A"/>
    <w:rsid w:val="6CE02A83"/>
    <w:rsid w:val="6CE60E8B"/>
    <w:rsid w:val="6CEB5F3B"/>
    <w:rsid w:val="6CF06819"/>
    <w:rsid w:val="6CF33FF7"/>
    <w:rsid w:val="6CFD7CAA"/>
    <w:rsid w:val="6D026EDE"/>
    <w:rsid w:val="6D24030C"/>
    <w:rsid w:val="6D24289B"/>
    <w:rsid w:val="6D2E18FA"/>
    <w:rsid w:val="6D301BA0"/>
    <w:rsid w:val="6D3377BA"/>
    <w:rsid w:val="6D3C7C81"/>
    <w:rsid w:val="6D451ECC"/>
    <w:rsid w:val="6D4D09E2"/>
    <w:rsid w:val="6D4D2752"/>
    <w:rsid w:val="6D5116F0"/>
    <w:rsid w:val="6D540918"/>
    <w:rsid w:val="6D5462C5"/>
    <w:rsid w:val="6D5A2FFE"/>
    <w:rsid w:val="6D611D5A"/>
    <w:rsid w:val="6D642CF0"/>
    <w:rsid w:val="6D6C1E50"/>
    <w:rsid w:val="6D6C795A"/>
    <w:rsid w:val="6D6D1F81"/>
    <w:rsid w:val="6D6E3F69"/>
    <w:rsid w:val="6D7101EF"/>
    <w:rsid w:val="6D747CDF"/>
    <w:rsid w:val="6D793547"/>
    <w:rsid w:val="6D7A1BE4"/>
    <w:rsid w:val="6D800432"/>
    <w:rsid w:val="6D8C327A"/>
    <w:rsid w:val="6D946CF0"/>
    <w:rsid w:val="6D9B3910"/>
    <w:rsid w:val="6DA944AD"/>
    <w:rsid w:val="6DA95771"/>
    <w:rsid w:val="6DAE11A5"/>
    <w:rsid w:val="6DB0791E"/>
    <w:rsid w:val="6DB141CC"/>
    <w:rsid w:val="6DB67ED9"/>
    <w:rsid w:val="6DB81974"/>
    <w:rsid w:val="6DD15131"/>
    <w:rsid w:val="6DDC0947"/>
    <w:rsid w:val="6DDC5409"/>
    <w:rsid w:val="6DDD2757"/>
    <w:rsid w:val="6DEF2A44"/>
    <w:rsid w:val="6DF317D6"/>
    <w:rsid w:val="6E0A41C9"/>
    <w:rsid w:val="6E0D795B"/>
    <w:rsid w:val="6E1A639C"/>
    <w:rsid w:val="6E1C2BA0"/>
    <w:rsid w:val="6E1C379E"/>
    <w:rsid w:val="6E1D58A5"/>
    <w:rsid w:val="6E1F40EF"/>
    <w:rsid w:val="6E224811"/>
    <w:rsid w:val="6E276AFF"/>
    <w:rsid w:val="6E2C680B"/>
    <w:rsid w:val="6E2E7B61"/>
    <w:rsid w:val="6E2F772D"/>
    <w:rsid w:val="6E3171CD"/>
    <w:rsid w:val="6E3A1C14"/>
    <w:rsid w:val="6E3B25AB"/>
    <w:rsid w:val="6E3B3106"/>
    <w:rsid w:val="6E3D27C7"/>
    <w:rsid w:val="6E411B42"/>
    <w:rsid w:val="6E464135"/>
    <w:rsid w:val="6E4A5C33"/>
    <w:rsid w:val="6E5024FA"/>
    <w:rsid w:val="6E5F44EB"/>
    <w:rsid w:val="6E661D1D"/>
    <w:rsid w:val="6E725E85"/>
    <w:rsid w:val="6E7313A6"/>
    <w:rsid w:val="6E755215"/>
    <w:rsid w:val="6E772A6C"/>
    <w:rsid w:val="6E781A51"/>
    <w:rsid w:val="6E790742"/>
    <w:rsid w:val="6E7A79B2"/>
    <w:rsid w:val="6E8137F6"/>
    <w:rsid w:val="6E850DE2"/>
    <w:rsid w:val="6E934195"/>
    <w:rsid w:val="6E9E0748"/>
    <w:rsid w:val="6EA8447B"/>
    <w:rsid w:val="6EB1286D"/>
    <w:rsid w:val="6EB50BA0"/>
    <w:rsid w:val="6EB66730"/>
    <w:rsid w:val="6EC0476E"/>
    <w:rsid w:val="6EC8152D"/>
    <w:rsid w:val="6ECE63ED"/>
    <w:rsid w:val="6ED67A15"/>
    <w:rsid w:val="6ED7185C"/>
    <w:rsid w:val="6ED943EB"/>
    <w:rsid w:val="6EDD3AFA"/>
    <w:rsid w:val="6EE20EBC"/>
    <w:rsid w:val="6EEE1243"/>
    <w:rsid w:val="6EEE32E9"/>
    <w:rsid w:val="6EEF7545"/>
    <w:rsid w:val="6EF55C98"/>
    <w:rsid w:val="6EF94F74"/>
    <w:rsid w:val="6EFC3C36"/>
    <w:rsid w:val="6EFF7A7C"/>
    <w:rsid w:val="6F093352"/>
    <w:rsid w:val="6F1019EB"/>
    <w:rsid w:val="6F1E641B"/>
    <w:rsid w:val="6F216E35"/>
    <w:rsid w:val="6F243248"/>
    <w:rsid w:val="6F276D8D"/>
    <w:rsid w:val="6F28515D"/>
    <w:rsid w:val="6F323B40"/>
    <w:rsid w:val="6F36598C"/>
    <w:rsid w:val="6F3F486D"/>
    <w:rsid w:val="6F3F5896"/>
    <w:rsid w:val="6F40431D"/>
    <w:rsid w:val="6F4638FD"/>
    <w:rsid w:val="6F507156"/>
    <w:rsid w:val="6F577D19"/>
    <w:rsid w:val="6F620146"/>
    <w:rsid w:val="6F626B94"/>
    <w:rsid w:val="6F6D1A6E"/>
    <w:rsid w:val="6F731231"/>
    <w:rsid w:val="6F7A32BD"/>
    <w:rsid w:val="6F852622"/>
    <w:rsid w:val="6F8A1A3C"/>
    <w:rsid w:val="6F9B3083"/>
    <w:rsid w:val="6F9E33D9"/>
    <w:rsid w:val="6FA75B64"/>
    <w:rsid w:val="6FAE6E71"/>
    <w:rsid w:val="6FAF5E0E"/>
    <w:rsid w:val="6FB04F00"/>
    <w:rsid w:val="6FB06908"/>
    <w:rsid w:val="6FB3063A"/>
    <w:rsid w:val="6FB3610E"/>
    <w:rsid w:val="6FB560C3"/>
    <w:rsid w:val="6FBB0D04"/>
    <w:rsid w:val="6FBD3DD5"/>
    <w:rsid w:val="6FBE2D32"/>
    <w:rsid w:val="6FC43175"/>
    <w:rsid w:val="6FCD0221"/>
    <w:rsid w:val="6FD15937"/>
    <w:rsid w:val="6FD44A65"/>
    <w:rsid w:val="6FE02A39"/>
    <w:rsid w:val="6FE62913"/>
    <w:rsid w:val="6FE84EF7"/>
    <w:rsid w:val="6FE92733"/>
    <w:rsid w:val="6FEE7905"/>
    <w:rsid w:val="6FF4636F"/>
    <w:rsid w:val="6FF82254"/>
    <w:rsid w:val="6FFB46E7"/>
    <w:rsid w:val="6FFE7D34"/>
    <w:rsid w:val="70052021"/>
    <w:rsid w:val="70057772"/>
    <w:rsid w:val="70061528"/>
    <w:rsid w:val="70177D3E"/>
    <w:rsid w:val="701833F8"/>
    <w:rsid w:val="70195191"/>
    <w:rsid w:val="703063E2"/>
    <w:rsid w:val="703D260A"/>
    <w:rsid w:val="70423181"/>
    <w:rsid w:val="7052046F"/>
    <w:rsid w:val="70542970"/>
    <w:rsid w:val="705823DF"/>
    <w:rsid w:val="705F07D2"/>
    <w:rsid w:val="706A4EBC"/>
    <w:rsid w:val="706C2EEF"/>
    <w:rsid w:val="70711163"/>
    <w:rsid w:val="7073427E"/>
    <w:rsid w:val="70774E05"/>
    <w:rsid w:val="707F2C23"/>
    <w:rsid w:val="708A730E"/>
    <w:rsid w:val="70975059"/>
    <w:rsid w:val="709F4389"/>
    <w:rsid w:val="70A1528F"/>
    <w:rsid w:val="70B44DDF"/>
    <w:rsid w:val="70B505D7"/>
    <w:rsid w:val="70B71FD0"/>
    <w:rsid w:val="70B775B4"/>
    <w:rsid w:val="70C65AF6"/>
    <w:rsid w:val="70CB33F3"/>
    <w:rsid w:val="70CD65BB"/>
    <w:rsid w:val="70CE5958"/>
    <w:rsid w:val="70CE6390"/>
    <w:rsid w:val="70D01981"/>
    <w:rsid w:val="70D52743"/>
    <w:rsid w:val="70E165BE"/>
    <w:rsid w:val="70E6130E"/>
    <w:rsid w:val="70F058CE"/>
    <w:rsid w:val="71025602"/>
    <w:rsid w:val="710B3DC7"/>
    <w:rsid w:val="710D5420"/>
    <w:rsid w:val="710E4110"/>
    <w:rsid w:val="710E6311"/>
    <w:rsid w:val="711041C2"/>
    <w:rsid w:val="71145A61"/>
    <w:rsid w:val="71165FCE"/>
    <w:rsid w:val="71267542"/>
    <w:rsid w:val="7129137C"/>
    <w:rsid w:val="712A772A"/>
    <w:rsid w:val="71374018"/>
    <w:rsid w:val="713C17CB"/>
    <w:rsid w:val="7142530F"/>
    <w:rsid w:val="71507CC0"/>
    <w:rsid w:val="715A4137"/>
    <w:rsid w:val="716907C5"/>
    <w:rsid w:val="71707AFA"/>
    <w:rsid w:val="718030F6"/>
    <w:rsid w:val="71827193"/>
    <w:rsid w:val="7196373A"/>
    <w:rsid w:val="719A115A"/>
    <w:rsid w:val="719A5B67"/>
    <w:rsid w:val="719E474F"/>
    <w:rsid w:val="71A41A51"/>
    <w:rsid w:val="71A958E8"/>
    <w:rsid w:val="71AF4A08"/>
    <w:rsid w:val="71B97467"/>
    <w:rsid w:val="71BC6F47"/>
    <w:rsid w:val="71C81BD1"/>
    <w:rsid w:val="71E14918"/>
    <w:rsid w:val="71E6082C"/>
    <w:rsid w:val="71E82A49"/>
    <w:rsid w:val="71FB53D1"/>
    <w:rsid w:val="72015F17"/>
    <w:rsid w:val="72037516"/>
    <w:rsid w:val="72073027"/>
    <w:rsid w:val="720B7330"/>
    <w:rsid w:val="72141A90"/>
    <w:rsid w:val="721750DD"/>
    <w:rsid w:val="721970A7"/>
    <w:rsid w:val="721C3E2A"/>
    <w:rsid w:val="722D120D"/>
    <w:rsid w:val="722F68B9"/>
    <w:rsid w:val="72323CC5"/>
    <w:rsid w:val="723637B5"/>
    <w:rsid w:val="72472B74"/>
    <w:rsid w:val="7249798C"/>
    <w:rsid w:val="724A017F"/>
    <w:rsid w:val="72563E57"/>
    <w:rsid w:val="725A6DF6"/>
    <w:rsid w:val="725D3437"/>
    <w:rsid w:val="725E5A58"/>
    <w:rsid w:val="72624F23"/>
    <w:rsid w:val="7265636A"/>
    <w:rsid w:val="72670E23"/>
    <w:rsid w:val="72716DB3"/>
    <w:rsid w:val="727F49D9"/>
    <w:rsid w:val="72844F38"/>
    <w:rsid w:val="72935CC5"/>
    <w:rsid w:val="72944B4C"/>
    <w:rsid w:val="729463AA"/>
    <w:rsid w:val="72966B38"/>
    <w:rsid w:val="729C0E59"/>
    <w:rsid w:val="72A01E81"/>
    <w:rsid w:val="72BC3E2B"/>
    <w:rsid w:val="72C97D35"/>
    <w:rsid w:val="72CA4C65"/>
    <w:rsid w:val="72D11E05"/>
    <w:rsid w:val="72D72363"/>
    <w:rsid w:val="72DA5EC4"/>
    <w:rsid w:val="72EC774D"/>
    <w:rsid w:val="72EE2610"/>
    <w:rsid w:val="72EF2791"/>
    <w:rsid w:val="72F05C6D"/>
    <w:rsid w:val="72F12FA6"/>
    <w:rsid w:val="72F50DA2"/>
    <w:rsid w:val="72F724DE"/>
    <w:rsid w:val="72F742EA"/>
    <w:rsid w:val="72F807A4"/>
    <w:rsid w:val="72FC5B3D"/>
    <w:rsid w:val="72FC60A4"/>
    <w:rsid w:val="73025D8D"/>
    <w:rsid w:val="73064EE5"/>
    <w:rsid w:val="7306718E"/>
    <w:rsid w:val="7313040B"/>
    <w:rsid w:val="731714D0"/>
    <w:rsid w:val="731D4975"/>
    <w:rsid w:val="731D77F2"/>
    <w:rsid w:val="73246DDB"/>
    <w:rsid w:val="7324707C"/>
    <w:rsid w:val="732857F3"/>
    <w:rsid w:val="732A61AD"/>
    <w:rsid w:val="73382ADE"/>
    <w:rsid w:val="733A5527"/>
    <w:rsid w:val="734D0023"/>
    <w:rsid w:val="7350457E"/>
    <w:rsid w:val="73505F50"/>
    <w:rsid w:val="73532145"/>
    <w:rsid w:val="73604A86"/>
    <w:rsid w:val="737C5B3F"/>
    <w:rsid w:val="73982433"/>
    <w:rsid w:val="7399049F"/>
    <w:rsid w:val="73A57B3A"/>
    <w:rsid w:val="73A86934"/>
    <w:rsid w:val="73BB6668"/>
    <w:rsid w:val="73BE0C27"/>
    <w:rsid w:val="73BF6995"/>
    <w:rsid w:val="73C03D0F"/>
    <w:rsid w:val="73C117A4"/>
    <w:rsid w:val="73C179F6"/>
    <w:rsid w:val="73C84921"/>
    <w:rsid w:val="73CD639B"/>
    <w:rsid w:val="73DE1C9A"/>
    <w:rsid w:val="73DF55AD"/>
    <w:rsid w:val="73E36F1C"/>
    <w:rsid w:val="73EA3C07"/>
    <w:rsid w:val="73F25410"/>
    <w:rsid w:val="73FD5FF3"/>
    <w:rsid w:val="74052F48"/>
    <w:rsid w:val="74077301"/>
    <w:rsid w:val="7415548A"/>
    <w:rsid w:val="74166CFE"/>
    <w:rsid w:val="741B21DE"/>
    <w:rsid w:val="741E48FB"/>
    <w:rsid w:val="741F3BF3"/>
    <w:rsid w:val="742D0566"/>
    <w:rsid w:val="74311F2E"/>
    <w:rsid w:val="74316DB6"/>
    <w:rsid w:val="743462E1"/>
    <w:rsid w:val="743D3912"/>
    <w:rsid w:val="74457086"/>
    <w:rsid w:val="74542A5A"/>
    <w:rsid w:val="745B2982"/>
    <w:rsid w:val="745D327B"/>
    <w:rsid w:val="745E1381"/>
    <w:rsid w:val="745E502F"/>
    <w:rsid w:val="74681194"/>
    <w:rsid w:val="74702191"/>
    <w:rsid w:val="747726F2"/>
    <w:rsid w:val="74797332"/>
    <w:rsid w:val="74874207"/>
    <w:rsid w:val="7488219A"/>
    <w:rsid w:val="748A0FE4"/>
    <w:rsid w:val="749F7D37"/>
    <w:rsid w:val="74A54C22"/>
    <w:rsid w:val="74B775E4"/>
    <w:rsid w:val="74BF42E4"/>
    <w:rsid w:val="74D2691C"/>
    <w:rsid w:val="74D5086A"/>
    <w:rsid w:val="74E20407"/>
    <w:rsid w:val="74E62DA2"/>
    <w:rsid w:val="74EE5C72"/>
    <w:rsid w:val="74F6547D"/>
    <w:rsid w:val="74FB2A94"/>
    <w:rsid w:val="74FB6491"/>
    <w:rsid w:val="74FF67F2"/>
    <w:rsid w:val="75093403"/>
    <w:rsid w:val="7519229E"/>
    <w:rsid w:val="75193413"/>
    <w:rsid w:val="751B35A0"/>
    <w:rsid w:val="7535244A"/>
    <w:rsid w:val="75446CF2"/>
    <w:rsid w:val="75477A22"/>
    <w:rsid w:val="75491A51"/>
    <w:rsid w:val="754E6569"/>
    <w:rsid w:val="755B6016"/>
    <w:rsid w:val="756A1F9F"/>
    <w:rsid w:val="75717E6F"/>
    <w:rsid w:val="757A3142"/>
    <w:rsid w:val="7582662B"/>
    <w:rsid w:val="75834F63"/>
    <w:rsid w:val="758518E4"/>
    <w:rsid w:val="75854BA4"/>
    <w:rsid w:val="758609FB"/>
    <w:rsid w:val="758705F9"/>
    <w:rsid w:val="758846F8"/>
    <w:rsid w:val="75905F76"/>
    <w:rsid w:val="7593157A"/>
    <w:rsid w:val="7593676D"/>
    <w:rsid w:val="759375F0"/>
    <w:rsid w:val="759E3ECA"/>
    <w:rsid w:val="759F7E09"/>
    <w:rsid w:val="75A31F5B"/>
    <w:rsid w:val="75A66EA3"/>
    <w:rsid w:val="75A82C1C"/>
    <w:rsid w:val="75A9073C"/>
    <w:rsid w:val="75AB578B"/>
    <w:rsid w:val="75B65940"/>
    <w:rsid w:val="75B72DAD"/>
    <w:rsid w:val="75C21073"/>
    <w:rsid w:val="75C46AA2"/>
    <w:rsid w:val="75D71879"/>
    <w:rsid w:val="75DF5F11"/>
    <w:rsid w:val="75EA24E0"/>
    <w:rsid w:val="75F10643"/>
    <w:rsid w:val="75F57E3E"/>
    <w:rsid w:val="75F80BED"/>
    <w:rsid w:val="76066DB1"/>
    <w:rsid w:val="760C4DB6"/>
    <w:rsid w:val="760F2C9B"/>
    <w:rsid w:val="76114D27"/>
    <w:rsid w:val="76136A98"/>
    <w:rsid w:val="761A563B"/>
    <w:rsid w:val="761D037F"/>
    <w:rsid w:val="762023DD"/>
    <w:rsid w:val="76236746"/>
    <w:rsid w:val="762645F4"/>
    <w:rsid w:val="762C5820"/>
    <w:rsid w:val="7630676D"/>
    <w:rsid w:val="763B75EC"/>
    <w:rsid w:val="76455512"/>
    <w:rsid w:val="765F224D"/>
    <w:rsid w:val="76621713"/>
    <w:rsid w:val="76694F78"/>
    <w:rsid w:val="766A1C7F"/>
    <w:rsid w:val="766C59F7"/>
    <w:rsid w:val="766D79C1"/>
    <w:rsid w:val="766D7BA8"/>
    <w:rsid w:val="76700482"/>
    <w:rsid w:val="76726D86"/>
    <w:rsid w:val="767273FB"/>
    <w:rsid w:val="76750DCE"/>
    <w:rsid w:val="76782096"/>
    <w:rsid w:val="767A2D9C"/>
    <w:rsid w:val="76916A34"/>
    <w:rsid w:val="769247A1"/>
    <w:rsid w:val="76931548"/>
    <w:rsid w:val="76996067"/>
    <w:rsid w:val="76A21419"/>
    <w:rsid w:val="76AB20CD"/>
    <w:rsid w:val="76AB714E"/>
    <w:rsid w:val="76CF7391"/>
    <w:rsid w:val="76D36C19"/>
    <w:rsid w:val="76D76101"/>
    <w:rsid w:val="76DE6539"/>
    <w:rsid w:val="76DF391D"/>
    <w:rsid w:val="76EC32FD"/>
    <w:rsid w:val="76F41D3C"/>
    <w:rsid w:val="77072CA8"/>
    <w:rsid w:val="770A7080"/>
    <w:rsid w:val="770F6770"/>
    <w:rsid w:val="77114D2F"/>
    <w:rsid w:val="77121910"/>
    <w:rsid w:val="77174759"/>
    <w:rsid w:val="771A4A25"/>
    <w:rsid w:val="77231B51"/>
    <w:rsid w:val="772C5908"/>
    <w:rsid w:val="772E53A2"/>
    <w:rsid w:val="772E7272"/>
    <w:rsid w:val="77304C77"/>
    <w:rsid w:val="77337FEB"/>
    <w:rsid w:val="7734378F"/>
    <w:rsid w:val="77354045"/>
    <w:rsid w:val="77433D9C"/>
    <w:rsid w:val="774458C9"/>
    <w:rsid w:val="77456248"/>
    <w:rsid w:val="775225D4"/>
    <w:rsid w:val="77660698"/>
    <w:rsid w:val="776E1C43"/>
    <w:rsid w:val="776E6423"/>
    <w:rsid w:val="778154D2"/>
    <w:rsid w:val="77843233"/>
    <w:rsid w:val="778F2FED"/>
    <w:rsid w:val="7796043C"/>
    <w:rsid w:val="779D0C3B"/>
    <w:rsid w:val="77AB4FF8"/>
    <w:rsid w:val="77B91E71"/>
    <w:rsid w:val="77E141C3"/>
    <w:rsid w:val="77E2255B"/>
    <w:rsid w:val="77E5622B"/>
    <w:rsid w:val="77EB6E04"/>
    <w:rsid w:val="77F02658"/>
    <w:rsid w:val="77F25F18"/>
    <w:rsid w:val="77F739E6"/>
    <w:rsid w:val="77FF2CEF"/>
    <w:rsid w:val="781253AE"/>
    <w:rsid w:val="781B305F"/>
    <w:rsid w:val="781C68DB"/>
    <w:rsid w:val="781F3285"/>
    <w:rsid w:val="782347DB"/>
    <w:rsid w:val="782B2F7D"/>
    <w:rsid w:val="782E7947"/>
    <w:rsid w:val="78317482"/>
    <w:rsid w:val="78324A1E"/>
    <w:rsid w:val="784A5D07"/>
    <w:rsid w:val="784F4498"/>
    <w:rsid w:val="785C7CED"/>
    <w:rsid w:val="785D5FEB"/>
    <w:rsid w:val="785F28FE"/>
    <w:rsid w:val="787333BC"/>
    <w:rsid w:val="7874387B"/>
    <w:rsid w:val="78747106"/>
    <w:rsid w:val="7875067F"/>
    <w:rsid w:val="78801C2E"/>
    <w:rsid w:val="78811502"/>
    <w:rsid w:val="788C05D2"/>
    <w:rsid w:val="788C68C2"/>
    <w:rsid w:val="78A551F0"/>
    <w:rsid w:val="78C80EDF"/>
    <w:rsid w:val="78C814D5"/>
    <w:rsid w:val="78CB00A7"/>
    <w:rsid w:val="78CB441E"/>
    <w:rsid w:val="78CD4747"/>
    <w:rsid w:val="78CE2999"/>
    <w:rsid w:val="78D04546"/>
    <w:rsid w:val="78D24D05"/>
    <w:rsid w:val="78DA53DD"/>
    <w:rsid w:val="78DE7994"/>
    <w:rsid w:val="78E3306A"/>
    <w:rsid w:val="78E57870"/>
    <w:rsid w:val="78E57CE3"/>
    <w:rsid w:val="78EA2ED0"/>
    <w:rsid w:val="78F11EB6"/>
    <w:rsid w:val="78F31440"/>
    <w:rsid w:val="790073ED"/>
    <w:rsid w:val="79076B5E"/>
    <w:rsid w:val="7914609A"/>
    <w:rsid w:val="79167E9C"/>
    <w:rsid w:val="7918401D"/>
    <w:rsid w:val="792F0F5E"/>
    <w:rsid w:val="79337776"/>
    <w:rsid w:val="79356116"/>
    <w:rsid w:val="79377B50"/>
    <w:rsid w:val="79585E76"/>
    <w:rsid w:val="795E3E9C"/>
    <w:rsid w:val="796E1A86"/>
    <w:rsid w:val="79780B57"/>
    <w:rsid w:val="797E2AAB"/>
    <w:rsid w:val="797E2C2B"/>
    <w:rsid w:val="797F465B"/>
    <w:rsid w:val="79985F6E"/>
    <w:rsid w:val="79A100AE"/>
    <w:rsid w:val="79A4038C"/>
    <w:rsid w:val="79B80D83"/>
    <w:rsid w:val="79BC0A44"/>
    <w:rsid w:val="79BD24D6"/>
    <w:rsid w:val="79BD47BC"/>
    <w:rsid w:val="79C96EB1"/>
    <w:rsid w:val="79F20909"/>
    <w:rsid w:val="7A1179D8"/>
    <w:rsid w:val="7A12143B"/>
    <w:rsid w:val="7A1E16FE"/>
    <w:rsid w:val="7A1E525A"/>
    <w:rsid w:val="7A2501C8"/>
    <w:rsid w:val="7A3571B3"/>
    <w:rsid w:val="7A37631C"/>
    <w:rsid w:val="7A4763E0"/>
    <w:rsid w:val="7A486015"/>
    <w:rsid w:val="7A6332C2"/>
    <w:rsid w:val="7A6B664D"/>
    <w:rsid w:val="7A6C06BC"/>
    <w:rsid w:val="7A6F3D08"/>
    <w:rsid w:val="7A7430CC"/>
    <w:rsid w:val="7A8377B3"/>
    <w:rsid w:val="7A846B69"/>
    <w:rsid w:val="7A884DCA"/>
    <w:rsid w:val="7A98193B"/>
    <w:rsid w:val="7A9B32C2"/>
    <w:rsid w:val="7A9F7D20"/>
    <w:rsid w:val="7AA6093E"/>
    <w:rsid w:val="7AA91CB5"/>
    <w:rsid w:val="7AB62EFD"/>
    <w:rsid w:val="7AC01313"/>
    <w:rsid w:val="7ACC508E"/>
    <w:rsid w:val="7AE200B4"/>
    <w:rsid w:val="7AE43149"/>
    <w:rsid w:val="7AF24EBB"/>
    <w:rsid w:val="7AF407A2"/>
    <w:rsid w:val="7AFB61CE"/>
    <w:rsid w:val="7B0025AE"/>
    <w:rsid w:val="7B071EC0"/>
    <w:rsid w:val="7B0F2CF0"/>
    <w:rsid w:val="7B110B95"/>
    <w:rsid w:val="7B195EB9"/>
    <w:rsid w:val="7B214D9A"/>
    <w:rsid w:val="7B2965AD"/>
    <w:rsid w:val="7B2F4BA4"/>
    <w:rsid w:val="7B334873"/>
    <w:rsid w:val="7B396B84"/>
    <w:rsid w:val="7B3F6A8D"/>
    <w:rsid w:val="7B414CE1"/>
    <w:rsid w:val="7B4231CA"/>
    <w:rsid w:val="7B4673A1"/>
    <w:rsid w:val="7B4D7639"/>
    <w:rsid w:val="7B547E24"/>
    <w:rsid w:val="7B5857DB"/>
    <w:rsid w:val="7B587A97"/>
    <w:rsid w:val="7B5C192D"/>
    <w:rsid w:val="7B6D32FA"/>
    <w:rsid w:val="7B750843"/>
    <w:rsid w:val="7B7A0BCC"/>
    <w:rsid w:val="7B7D0FD1"/>
    <w:rsid w:val="7B825CBD"/>
    <w:rsid w:val="7B851F75"/>
    <w:rsid w:val="7B871CF2"/>
    <w:rsid w:val="7B8A6C09"/>
    <w:rsid w:val="7B98773F"/>
    <w:rsid w:val="7BAD082F"/>
    <w:rsid w:val="7BB00E61"/>
    <w:rsid w:val="7BB64ECC"/>
    <w:rsid w:val="7BB96C82"/>
    <w:rsid w:val="7BBA70F7"/>
    <w:rsid w:val="7BC72B1F"/>
    <w:rsid w:val="7BCA35C5"/>
    <w:rsid w:val="7BCA4981"/>
    <w:rsid w:val="7BD64FAF"/>
    <w:rsid w:val="7BD914C4"/>
    <w:rsid w:val="7BE10C35"/>
    <w:rsid w:val="7BE149FF"/>
    <w:rsid w:val="7BE21C02"/>
    <w:rsid w:val="7BE95D3C"/>
    <w:rsid w:val="7BFA1CF7"/>
    <w:rsid w:val="7BFC781D"/>
    <w:rsid w:val="7BFD3595"/>
    <w:rsid w:val="7C047A7B"/>
    <w:rsid w:val="7C051213"/>
    <w:rsid w:val="7C0B156B"/>
    <w:rsid w:val="7C1C3A1B"/>
    <w:rsid w:val="7C1D3930"/>
    <w:rsid w:val="7C227297"/>
    <w:rsid w:val="7C330D65"/>
    <w:rsid w:val="7C335A49"/>
    <w:rsid w:val="7C352D2F"/>
    <w:rsid w:val="7C390BBA"/>
    <w:rsid w:val="7C3F7587"/>
    <w:rsid w:val="7C405F43"/>
    <w:rsid w:val="7C407A8C"/>
    <w:rsid w:val="7C43369E"/>
    <w:rsid w:val="7C4E327C"/>
    <w:rsid w:val="7C4F1B19"/>
    <w:rsid w:val="7C4F58AE"/>
    <w:rsid w:val="7C5331B5"/>
    <w:rsid w:val="7C541407"/>
    <w:rsid w:val="7C573A6B"/>
    <w:rsid w:val="7C5E2286"/>
    <w:rsid w:val="7C66738C"/>
    <w:rsid w:val="7C673C6A"/>
    <w:rsid w:val="7C6B2167"/>
    <w:rsid w:val="7C71236F"/>
    <w:rsid w:val="7C715E4D"/>
    <w:rsid w:val="7C794397"/>
    <w:rsid w:val="7C92437A"/>
    <w:rsid w:val="7C965CD2"/>
    <w:rsid w:val="7C9D24A7"/>
    <w:rsid w:val="7CA3025F"/>
    <w:rsid w:val="7CAC4CF6"/>
    <w:rsid w:val="7CBD27D6"/>
    <w:rsid w:val="7CC310A5"/>
    <w:rsid w:val="7CC3459B"/>
    <w:rsid w:val="7CC473B7"/>
    <w:rsid w:val="7CC665AD"/>
    <w:rsid w:val="7CD14BCE"/>
    <w:rsid w:val="7CD442F6"/>
    <w:rsid w:val="7CEC44EA"/>
    <w:rsid w:val="7CF43188"/>
    <w:rsid w:val="7CF73184"/>
    <w:rsid w:val="7CF8495E"/>
    <w:rsid w:val="7CFE246D"/>
    <w:rsid w:val="7D0C34C4"/>
    <w:rsid w:val="7D0D5B4A"/>
    <w:rsid w:val="7D100C84"/>
    <w:rsid w:val="7D140F0B"/>
    <w:rsid w:val="7D1620AA"/>
    <w:rsid w:val="7D197F5B"/>
    <w:rsid w:val="7D270465"/>
    <w:rsid w:val="7D311748"/>
    <w:rsid w:val="7D3A2409"/>
    <w:rsid w:val="7D3C4514"/>
    <w:rsid w:val="7D4B1B91"/>
    <w:rsid w:val="7D4E22A8"/>
    <w:rsid w:val="7D4F1BCF"/>
    <w:rsid w:val="7D4F76A6"/>
    <w:rsid w:val="7D563B5D"/>
    <w:rsid w:val="7D5776BF"/>
    <w:rsid w:val="7D5B4A17"/>
    <w:rsid w:val="7D5F5C08"/>
    <w:rsid w:val="7D6415EB"/>
    <w:rsid w:val="7D7D2BE0"/>
    <w:rsid w:val="7D85746C"/>
    <w:rsid w:val="7D8C0450"/>
    <w:rsid w:val="7D980F5A"/>
    <w:rsid w:val="7D9B6A48"/>
    <w:rsid w:val="7D9C12B8"/>
    <w:rsid w:val="7D9D6D6F"/>
    <w:rsid w:val="7D9F73BE"/>
    <w:rsid w:val="7DA912DF"/>
    <w:rsid w:val="7DAA32A9"/>
    <w:rsid w:val="7DAE0FEB"/>
    <w:rsid w:val="7DAE4074"/>
    <w:rsid w:val="7DBE33D4"/>
    <w:rsid w:val="7DC01139"/>
    <w:rsid w:val="7DCB20E7"/>
    <w:rsid w:val="7DCE6867"/>
    <w:rsid w:val="7DD26996"/>
    <w:rsid w:val="7DDC1631"/>
    <w:rsid w:val="7DE93453"/>
    <w:rsid w:val="7DF77D90"/>
    <w:rsid w:val="7DFA5FDE"/>
    <w:rsid w:val="7DFB2A72"/>
    <w:rsid w:val="7DFD193B"/>
    <w:rsid w:val="7DFF2C3B"/>
    <w:rsid w:val="7E142F7D"/>
    <w:rsid w:val="7E16463E"/>
    <w:rsid w:val="7E186CB2"/>
    <w:rsid w:val="7E212B6D"/>
    <w:rsid w:val="7E241B67"/>
    <w:rsid w:val="7E295851"/>
    <w:rsid w:val="7E341F57"/>
    <w:rsid w:val="7E37513C"/>
    <w:rsid w:val="7E397D1B"/>
    <w:rsid w:val="7E4212FA"/>
    <w:rsid w:val="7E4A6B36"/>
    <w:rsid w:val="7E584AB3"/>
    <w:rsid w:val="7E5E656D"/>
    <w:rsid w:val="7E6726F6"/>
    <w:rsid w:val="7E6F379F"/>
    <w:rsid w:val="7E725B75"/>
    <w:rsid w:val="7E7278BD"/>
    <w:rsid w:val="7E891110"/>
    <w:rsid w:val="7E9A3E70"/>
    <w:rsid w:val="7E9D7A03"/>
    <w:rsid w:val="7EA452E1"/>
    <w:rsid w:val="7EA6506C"/>
    <w:rsid w:val="7ED625A7"/>
    <w:rsid w:val="7ED700CE"/>
    <w:rsid w:val="7ED76320"/>
    <w:rsid w:val="7EDD1A58"/>
    <w:rsid w:val="7EDF24EB"/>
    <w:rsid w:val="7EE02789"/>
    <w:rsid w:val="7EEA23CD"/>
    <w:rsid w:val="7EFB3DBC"/>
    <w:rsid w:val="7F037D6F"/>
    <w:rsid w:val="7F121106"/>
    <w:rsid w:val="7F1255AA"/>
    <w:rsid w:val="7F1D19AF"/>
    <w:rsid w:val="7F217AC6"/>
    <w:rsid w:val="7F261D23"/>
    <w:rsid w:val="7F286B7B"/>
    <w:rsid w:val="7F2C0419"/>
    <w:rsid w:val="7F2C296D"/>
    <w:rsid w:val="7F323556"/>
    <w:rsid w:val="7F34107C"/>
    <w:rsid w:val="7F3F13C1"/>
    <w:rsid w:val="7F4449FA"/>
    <w:rsid w:val="7F484B27"/>
    <w:rsid w:val="7F4A23B2"/>
    <w:rsid w:val="7F6556D9"/>
    <w:rsid w:val="7F667627"/>
    <w:rsid w:val="7F674E13"/>
    <w:rsid w:val="7F6F6558"/>
    <w:rsid w:val="7F761695"/>
    <w:rsid w:val="7F7B1AFC"/>
    <w:rsid w:val="7F7F1B50"/>
    <w:rsid w:val="7F827342"/>
    <w:rsid w:val="7F861611"/>
    <w:rsid w:val="7F8B1FC1"/>
    <w:rsid w:val="7F936EBC"/>
    <w:rsid w:val="7F940491"/>
    <w:rsid w:val="7F9A1827"/>
    <w:rsid w:val="7F9B6EB8"/>
    <w:rsid w:val="7FA92478"/>
    <w:rsid w:val="7FAC0CF8"/>
    <w:rsid w:val="7FAE52D2"/>
    <w:rsid w:val="7FAF1201"/>
    <w:rsid w:val="7FAF128E"/>
    <w:rsid w:val="7FB01AFF"/>
    <w:rsid w:val="7FB165EC"/>
    <w:rsid w:val="7FB56661"/>
    <w:rsid w:val="7FBE2B17"/>
    <w:rsid w:val="7FC60100"/>
    <w:rsid w:val="7FCF3FD2"/>
    <w:rsid w:val="7FD10FC1"/>
    <w:rsid w:val="7FE10627"/>
    <w:rsid w:val="7FE72F6A"/>
    <w:rsid w:val="7FED79D9"/>
    <w:rsid w:val="7FFC2946"/>
    <w:rsid w:val="7FFD29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bCs/>
      <w:kern w:val="2"/>
      <w:sz w:val="21"/>
      <w:szCs w:val="24"/>
      <w:lang w:val="en-US" w:eastAsia="zh-CN" w:bidi="ar-SA"/>
    </w:rPr>
  </w:style>
  <w:style w:type="paragraph" w:styleId="5">
    <w:name w:val="heading 1"/>
    <w:basedOn w:val="1"/>
    <w:next w:val="1"/>
    <w:link w:val="34"/>
    <w:qFormat/>
    <w:uiPriority w:val="0"/>
    <w:pPr>
      <w:keepNext/>
      <w:keepLines/>
      <w:adjustRightInd w:val="0"/>
      <w:snapToGrid w:val="0"/>
      <w:spacing w:beforeAutospacing="0" w:afterAutospacing="0" w:line="240" w:lineRule="auto"/>
      <w:jc w:val="left"/>
      <w:outlineLvl w:val="0"/>
    </w:pPr>
    <w:rPr>
      <w:rFonts w:eastAsia="黑体"/>
      <w:kern w:val="44"/>
      <w:sz w:val="32"/>
    </w:rPr>
  </w:style>
  <w:style w:type="paragraph" w:styleId="6">
    <w:name w:val="heading 2"/>
    <w:basedOn w:val="1"/>
    <w:next w:val="1"/>
    <w:link w:val="35"/>
    <w:unhideWhenUsed/>
    <w:qFormat/>
    <w:uiPriority w:val="0"/>
    <w:pPr>
      <w:keepNext/>
      <w:keepLines w:val="0"/>
      <w:numPr>
        <w:ilvl w:val="1"/>
        <w:numId w:val="0"/>
      </w:numPr>
      <w:spacing w:line="360" w:lineRule="auto"/>
      <w:ind w:left="0" w:firstLine="0" w:firstLineChars="0"/>
      <w:jc w:val="left"/>
      <w:outlineLvl w:val="1"/>
    </w:pPr>
    <w:rPr>
      <w:rFonts w:ascii="Times New Roman" w:hAnsi="Times New Roman" w:eastAsia="黑体"/>
      <w:sz w:val="30"/>
      <w:szCs w:val="32"/>
    </w:rPr>
  </w:style>
  <w:style w:type="paragraph" w:styleId="7">
    <w:name w:val="heading 3"/>
    <w:basedOn w:val="1"/>
    <w:next w:val="1"/>
    <w:unhideWhenUsed/>
    <w:qFormat/>
    <w:uiPriority w:val="0"/>
    <w:pPr>
      <w:keepNext/>
      <w:keepLines/>
      <w:spacing w:line="360" w:lineRule="auto"/>
      <w:jc w:val="left"/>
      <w:outlineLvl w:val="2"/>
    </w:pPr>
    <w:rPr>
      <w:rFonts w:eastAsia="黑体"/>
      <w:sz w:val="28"/>
      <w:szCs w:val="32"/>
    </w:rPr>
  </w:style>
  <w:style w:type="paragraph" w:styleId="8">
    <w:name w:val="heading 4"/>
    <w:basedOn w:val="1"/>
    <w:next w:val="1"/>
    <w:link w:val="36"/>
    <w:unhideWhenUsed/>
    <w:qFormat/>
    <w:uiPriority w:val="0"/>
    <w:pPr>
      <w:keepNext/>
      <w:keepLines/>
      <w:spacing w:beforeAutospacing="0" w:afterAutospacing="0" w:line="360" w:lineRule="auto"/>
      <w:jc w:val="left"/>
      <w:outlineLvl w:val="3"/>
    </w:pPr>
    <w:rPr>
      <w:rFonts w:ascii="Times New Roman" w:hAnsi="Times New Roman" w:eastAsia="黑体"/>
      <w:sz w:val="24"/>
    </w:rPr>
  </w:style>
  <w:style w:type="paragraph" w:styleId="9">
    <w:name w:val="heading 5"/>
    <w:basedOn w:val="1"/>
    <w:next w:val="1"/>
    <w:unhideWhenUsed/>
    <w:qFormat/>
    <w:uiPriority w:val="0"/>
    <w:pPr>
      <w:keepNext/>
      <w:keepLines/>
      <w:adjustRightInd w:val="0"/>
      <w:snapToGrid w:val="0"/>
      <w:spacing w:before="50" w:beforeLines="50" w:beforeAutospacing="0" w:afterAutospacing="0" w:line="240" w:lineRule="auto"/>
      <w:jc w:val="center"/>
      <w:outlineLvl w:val="4"/>
    </w:pPr>
    <w:rPr>
      <w:rFonts w:ascii="Times New Roman" w:hAnsi="Times New Roman" w:eastAsia="黑体"/>
      <w:sz w:val="24"/>
    </w:rPr>
  </w:style>
  <w:style w:type="character" w:default="1" w:styleId="30">
    <w:name w:val="Default Paragraph Font"/>
    <w:link w:val="31"/>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toc 7"/>
    <w:basedOn w:val="1"/>
    <w:next w:val="1"/>
    <w:qFormat/>
    <w:uiPriority w:val="0"/>
    <w:pPr>
      <w:widowControl w:val="0"/>
      <w:adjustRightInd w:val="0"/>
      <w:snapToGrid w:val="0"/>
      <w:ind w:left="2520" w:leftChars="1200"/>
      <w:jc w:val="both"/>
    </w:pPr>
    <w:rPr>
      <w:kern w:val="2"/>
      <w:sz w:val="21"/>
      <w:szCs w:val="24"/>
    </w:rPr>
  </w:style>
  <w:style w:type="paragraph" w:styleId="10">
    <w:name w:val="Note Heading"/>
    <w:basedOn w:val="1"/>
    <w:next w:val="1"/>
    <w:qFormat/>
    <w:uiPriority w:val="0"/>
    <w:pPr>
      <w:jc w:val="left"/>
    </w:pPr>
    <w:rPr>
      <w:color w:val="000000"/>
      <w:szCs w:val="21"/>
    </w:rPr>
  </w:style>
  <w:style w:type="paragraph" w:styleId="11">
    <w:name w:val="Normal Indent"/>
    <w:basedOn w:val="1"/>
    <w:next w:val="1"/>
    <w:qFormat/>
    <w:uiPriority w:val="0"/>
    <w:pPr>
      <w:ind w:firstLine="567"/>
    </w:pPr>
  </w:style>
  <w:style w:type="paragraph" w:styleId="12">
    <w:name w:val="annotation text"/>
    <w:basedOn w:val="1"/>
    <w:qFormat/>
    <w:uiPriority w:val="0"/>
    <w:pPr>
      <w:jc w:val="left"/>
    </w:pPr>
  </w:style>
  <w:style w:type="paragraph" w:styleId="13">
    <w:name w:val="Body Text"/>
    <w:basedOn w:val="1"/>
    <w:next w:val="1"/>
    <w:qFormat/>
    <w:uiPriority w:val="0"/>
    <w:pPr>
      <w:spacing w:after="120" w:afterLines="0" w:afterAutospacing="0"/>
    </w:pPr>
  </w:style>
  <w:style w:type="paragraph" w:styleId="14">
    <w:name w:val="Body Text Indent"/>
    <w:basedOn w:val="1"/>
    <w:next w:val="15"/>
    <w:qFormat/>
    <w:uiPriority w:val="0"/>
    <w:pPr>
      <w:ind w:firstLine="645"/>
    </w:pPr>
    <w:rPr>
      <w:rFonts w:ascii="宋体" w:hAnsi="宋体"/>
      <w:sz w:val="24"/>
    </w:rPr>
  </w:style>
  <w:style w:type="paragraph" w:styleId="15">
    <w:name w:val="Body Text Indent 2"/>
    <w:basedOn w:val="1"/>
    <w:next w:val="16"/>
    <w:qFormat/>
    <w:uiPriority w:val="0"/>
    <w:pPr>
      <w:spacing w:after="120" w:afterLines="0" w:afterAutospacing="0" w:line="360" w:lineRule="auto"/>
      <w:ind w:left="0" w:leftChars="0" w:firstLine="960" w:firstLineChars="200"/>
    </w:pPr>
  </w:style>
  <w:style w:type="paragraph" w:styleId="16">
    <w:name w:val="Body Text First Indent 2"/>
    <w:basedOn w:val="14"/>
    <w:next w:val="1"/>
    <w:qFormat/>
    <w:uiPriority w:val="0"/>
    <w:pPr>
      <w:widowControl/>
      <w:spacing w:after="120"/>
      <w:ind w:left="420" w:leftChars="200" w:firstLine="420" w:firstLineChars="200"/>
      <w:jc w:val="left"/>
    </w:pPr>
    <w:rPr>
      <w:rFonts w:ascii="Times New Roman" w:hAnsi="Times New Roman"/>
      <w:kern w:val="0"/>
      <w:sz w:val="28"/>
      <w:szCs w:val="28"/>
    </w:rPr>
  </w:style>
  <w:style w:type="paragraph" w:styleId="17">
    <w:name w:val="toc 5"/>
    <w:basedOn w:val="1"/>
    <w:next w:val="1"/>
    <w:qFormat/>
    <w:uiPriority w:val="0"/>
    <w:pPr>
      <w:ind w:left="1680" w:leftChars="800"/>
    </w:pPr>
  </w:style>
  <w:style w:type="paragraph" w:styleId="18">
    <w:name w:val="toc 3"/>
    <w:basedOn w:val="1"/>
    <w:next w:val="1"/>
    <w:qFormat/>
    <w:uiPriority w:val="0"/>
    <w:pPr>
      <w:ind w:left="840" w:leftChars="400"/>
    </w:pPr>
  </w:style>
  <w:style w:type="paragraph" w:styleId="19">
    <w:name w:val="Plain Text"/>
    <w:basedOn w:val="1"/>
    <w:qFormat/>
    <w:uiPriority w:val="0"/>
    <w:rPr>
      <w:rFonts w:ascii="宋体" w:hAnsi="Courier New" w:cs="Courier New"/>
      <w:szCs w:val="21"/>
    </w:rPr>
  </w:style>
  <w:style w:type="paragraph" w:styleId="20">
    <w:name w:val="footer"/>
    <w:basedOn w:val="1"/>
    <w:qFormat/>
    <w:uiPriority w:val="0"/>
    <w:pPr>
      <w:tabs>
        <w:tab w:val="center" w:pos="4153"/>
        <w:tab w:val="right" w:pos="8306"/>
      </w:tabs>
      <w:jc w:val="left"/>
    </w:pPr>
    <w:rPr>
      <w:sz w:val="18"/>
      <w:szCs w:val="18"/>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2">
    <w:name w:val="toc 1"/>
    <w:basedOn w:val="1"/>
    <w:next w:val="1"/>
    <w:qFormat/>
    <w:uiPriority w:val="0"/>
  </w:style>
  <w:style w:type="paragraph" w:styleId="23">
    <w:name w:val="toc 4"/>
    <w:basedOn w:val="1"/>
    <w:next w:val="1"/>
    <w:qFormat/>
    <w:uiPriority w:val="0"/>
    <w:pPr>
      <w:ind w:left="1260" w:leftChars="600"/>
    </w:pPr>
  </w:style>
  <w:style w:type="paragraph" w:styleId="24">
    <w:name w:val="toc 2"/>
    <w:basedOn w:val="1"/>
    <w:next w:val="1"/>
    <w:qFormat/>
    <w:uiPriority w:val="0"/>
    <w:pPr>
      <w:ind w:left="420" w:leftChars="200"/>
    </w:pPr>
  </w:style>
  <w:style w:type="paragraph" w:styleId="25">
    <w:name w:val="Body Text 2"/>
    <w:basedOn w:val="1"/>
    <w:qFormat/>
    <w:uiPriority w:val="0"/>
    <w:pPr>
      <w:spacing w:after="120" w:afterLines="0" w:afterAutospacing="0" w:line="480" w:lineRule="auto"/>
    </w:pPr>
  </w:style>
  <w:style w:type="paragraph" w:styleId="2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7">
    <w:name w:val="Body Text First Indent"/>
    <w:basedOn w:val="13"/>
    <w:next w:val="1"/>
    <w:qFormat/>
    <w:uiPriority w:val="0"/>
    <w:pPr>
      <w:ind w:firstLine="640" w:firstLineChars="200"/>
    </w:pPr>
    <w:rPr>
      <w:rFonts w:ascii="Times New Roman" w:hAnsi="Times New Roman" w:eastAsia="宋体"/>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 Char Char Char Char Char Char1 Char Char Char Char Char Char Char"/>
    <w:basedOn w:val="1"/>
    <w:link w:val="30"/>
    <w:qFormat/>
    <w:uiPriority w:val="0"/>
  </w:style>
  <w:style w:type="character" w:styleId="32">
    <w:name w:val="Strong"/>
    <w:basedOn w:val="30"/>
    <w:qFormat/>
    <w:uiPriority w:val="0"/>
    <w:rPr>
      <w:b/>
    </w:rPr>
  </w:style>
  <w:style w:type="character" w:styleId="33">
    <w:name w:val="page number"/>
    <w:basedOn w:val="30"/>
    <w:qFormat/>
    <w:uiPriority w:val="0"/>
    <w:rPr>
      <w:rFonts w:ascii="Times New Roman" w:hAnsi="Times New Roman" w:eastAsia="宋体" w:cs="Times New Roman"/>
      <w:snapToGrid w:val="0"/>
      <w:sz w:val="21"/>
      <w:szCs w:val="24"/>
    </w:rPr>
  </w:style>
  <w:style w:type="character" w:customStyle="1" w:styleId="34">
    <w:name w:val="标题 1 Char"/>
    <w:link w:val="5"/>
    <w:qFormat/>
    <w:uiPriority w:val="0"/>
    <w:rPr>
      <w:rFonts w:eastAsia="黑体"/>
      <w:kern w:val="44"/>
      <w:sz w:val="32"/>
    </w:rPr>
  </w:style>
  <w:style w:type="character" w:customStyle="1" w:styleId="35">
    <w:name w:val="标题 2 Char"/>
    <w:link w:val="6"/>
    <w:qFormat/>
    <w:uiPriority w:val="0"/>
    <w:rPr>
      <w:rFonts w:ascii="Times New Roman" w:hAnsi="Times New Roman" w:eastAsia="黑体"/>
      <w:sz w:val="30"/>
      <w:szCs w:val="32"/>
    </w:rPr>
  </w:style>
  <w:style w:type="character" w:customStyle="1" w:styleId="36">
    <w:name w:val="标题 4 Char"/>
    <w:link w:val="8"/>
    <w:qFormat/>
    <w:uiPriority w:val="0"/>
    <w:rPr>
      <w:rFonts w:ascii="Times New Roman" w:hAnsi="Times New Roman" w:eastAsia="黑体"/>
      <w:sz w:val="24"/>
    </w:rPr>
  </w:style>
  <w:style w:type="paragraph" w:customStyle="1" w:styleId="37">
    <w:name w:val="样式 正文文本缩进 + 行距: 1.5 倍行距"/>
    <w:basedOn w:val="1"/>
    <w:qFormat/>
    <w:uiPriority w:val="0"/>
    <w:pPr>
      <w:spacing w:after="120" w:line="360" w:lineRule="auto"/>
      <w:ind w:left="90" w:leftChars="32" w:firstLine="560" w:firstLineChars="200"/>
    </w:pPr>
    <w:rPr>
      <w:sz w:val="24"/>
    </w:rPr>
  </w:style>
  <w:style w:type="paragraph" w:customStyle="1" w:styleId="38">
    <w:name w:val="正文(首行缩进)"/>
    <w:basedOn w:val="1"/>
    <w:qFormat/>
    <w:uiPriority w:val="0"/>
    <w:pPr>
      <w:adjustRightInd w:val="0"/>
      <w:snapToGrid w:val="0"/>
      <w:spacing w:line="360" w:lineRule="auto"/>
      <w:ind w:firstLine="200" w:firstLineChars="200"/>
    </w:pPr>
    <w:rPr>
      <w:snapToGrid w:val="0"/>
      <w:kern w:val="0"/>
      <w:szCs w:val="24"/>
    </w:rPr>
  </w:style>
  <w:style w:type="character" w:customStyle="1" w:styleId="39">
    <w:name w:val="font21"/>
    <w:basedOn w:val="30"/>
    <w:qFormat/>
    <w:uiPriority w:val="0"/>
    <w:rPr>
      <w:rFonts w:hint="eastAsia" w:ascii="宋体" w:hAnsi="宋体" w:eastAsia="宋体" w:cs="宋体"/>
      <w:color w:val="000000"/>
      <w:sz w:val="18"/>
      <w:szCs w:val="18"/>
      <w:u w:val="none"/>
    </w:rPr>
  </w:style>
  <w:style w:type="character" w:customStyle="1" w:styleId="40">
    <w:name w:val="fontstyle01"/>
    <w:basedOn w:val="30"/>
    <w:qFormat/>
    <w:uiPriority w:val="0"/>
    <w:rPr>
      <w:rFonts w:ascii="宋体" w:hAnsi="宋体" w:eastAsia="宋体" w:cs="宋体"/>
      <w:color w:val="000000"/>
      <w:sz w:val="16"/>
      <w:szCs w:val="16"/>
    </w:rPr>
  </w:style>
  <w:style w:type="character" w:customStyle="1" w:styleId="41">
    <w:name w:val="font11"/>
    <w:basedOn w:val="30"/>
    <w:qFormat/>
    <w:uiPriority w:val="0"/>
    <w:rPr>
      <w:rFonts w:hint="eastAsia" w:ascii="宋体" w:hAnsi="宋体" w:eastAsia="宋体" w:cs="宋体"/>
      <w:color w:val="000000"/>
      <w:sz w:val="22"/>
      <w:szCs w:val="22"/>
      <w:u w:val="none"/>
    </w:rPr>
  </w:style>
  <w:style w:type="paragraph" w:customStyle="1" w:styleId="42">
    <w:name w:val="表格的格式"/>
    <w:basedOn w:val="1"/>
    <w:qFormat/>
    <w:uiPriority w:val="0"/>
    <w:pPr>
      <w:widowControl/>
      <w:kinsoku w:val="0"/>
      <w:overflowPunct w:val="0"/>
      <w:spacing w:line="360" w:lineRule="auto"/>
      <w:jc w:val="center"/>
    </w:pPr>
    <w:rPr>
      <w:kern w:val="0"/>
      <w:sz w:val="24"/>
    </w:rPr>
  </w:style>
  <w:style w:type="paragraph" w:customStyle="1" w:styleId="43">
    <w:name w:val="表格内容"/>
    <w:next w:val="1"/>
    <w:qFormat/>
    <w:uiPriority w:val="0"/>
    <w:pPr>
      <w:tabs>
        <w:tab w:val="right" w:leader="dot" w:pos="8777"/>
      </w:tabs>
      <w:adjustRightInd w:val="0"/>
      <w:snapToGrid w:val="0"/>
      <w:spacing w:line="280" w:lineRule="exact"/>
      <w:jc w:val="center"/>
    </w:pPr>
    <w:rPr>
      <w:rFonts w:ascii="Times New Roman" w:hAnsi="Times New Roman" w:eastAsia="宋体" w:cs="Times New Roman"/>
      <w:color w:val="000000"/>
      <w:kern w:val="2"/>
      <w:sz w:val="21"/>
      <w:szCs w:val="18"/>
      <w:lang w:val="en-US" w:eastAsia="zh-CN" w:bidi="ar-SA"/>
    </w:rPr>
  </w:style>
  <w:style w:type="paragraph" w:customStyle="1" w:styleId="44">
    <w:name w:val="_Style 12"/>
    <w:basedOn w:val="1"/>
    <w:qFormat/>
    <w:uiPriority w:val="0"/>
    <w:rPr>
      <w:sz w:val="24"/>
    </w:rPr>
  </w:style>
  <w:style w:type="paragraph" w:customStyle="1" w:styleId="45">
    <w:name w:val="表格"/>
    <w:basedOn w:val="1"/>
    <w:next w:val="1"/>
    <w:qFormat/>
    <w:uiPriority w:val="0"/>
    <w:pPr>
      <w:snapToGrid w:val="0"/>
      <w:spacing w:line="240" w:lineRule="auto"/>
      <w:ind w:firstLine="0" w:firstLineChars="0"/>
      <w:jc w:val="center"/>
    </w:pPr>
    <w:rPr>
      <w:sz w:val="21"/>
    </w:rPr>
  </w:style>
  <w:style w:type="paragraph" w:customStyle="1" w:styleId="46">
    <w:name w:val="表头"/>
    <w:basedOn w:val="13"/>
    <w:next w:val="1"/>
    <w:qFormat/>
    <w:uiPriority w:val="0"/>
    <w:pPr>
      <w:adjustRightInd w:val="0"/>
      <w:spacing w:line="360" w:lineRule="auto"/>
      <w:jc w:val="left"/>
    </w:pPr>
    <w:rPr>
      <w:rFonts w:eastAsia="黑体"/>
      <w:snapToGrid w:val="0"/>
      <w:kern w:val="0"/>
      <w:sz w:val="28"/>
    </w:rPr>
  </w:style>
  <w:style w:type="paragraph" w:customStyle="1" w:styleId="47">
    <w:name w:val="标题4"/>
    <w:basedOn w:val="1"/>
    <w:next w:val="1"/>
    <w:qFormat/>
    <w:uiPriority w:val="0"/>
    <w:pPr>
      <w:wordWrap w:val="0"/>
      <w:topLinePunct/>
      <w:adjustRightInd w:val="0"/>
      <w:snapToGrid w:val="0"/>
      <w:spacing w:beforeLines="50" w:afterLines="50"/>
    </w:pPr>
  </w:style>
  <w:style w:type="paragraph" w:customStyle="1" w:styleId="4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49">
    <w:name w:val="5文章(治)"/>
    <w:basedOn w:val="1"/>
    <w:qFormat/>
    <w:uiPriority w:val="0"/>
    <w:pPr>
      <w:spacing w:line="360" w:lineRule="auto"/>
      <w:ind w:firstLine="480" w:firstLineChars="200"/>
    </w:pPr>
    <w:rPr>
      <w:sz w:val="24"/>
    </w:rPr>
  </w:style>
  <w:style w:type="paragraph" w:customStyle="1" w:styleId="50">
    <w:name w:val="p0"/>
    <w:basedOn w:val="1"/>
    <w:qFormat/>
    <w:uiPriority w:val="0"/>
    <w:pPr>
      <w:widowControl/>
    </w:pPr>
    <w:rPr>
      <w:rFonts w:ascii="Times New Roman" w:hAnsi="Times New Roman"/>
      <w:kern w:val="0"/>
      <w:szCs w:val="21"/>
    </w:rPr>
  </w:style>
  <w:style w:type="paragraph" w:customStyle="1" w:styleId="51">
    <w:name w:val=" Char Char2 Char Char"/>
    <w:basedOn w:val="1"/>
    <w:qFormat/>
    <w:uiPriority w:val="0"/>
    <w:pPr>
      <w:widowControl/>
      <w:jc w:val="left"/>
    </w:pPr>
    <w:rPr>
      <w:kern w:val="0"/>
      <w:sz w:val="20"/>
    </w:rPr>
  </w:style>
  <w:style w:type="paragraph" w:customStyle="1" w:styleId="52">
    <w:name w:val="Table Paragraph"/>
    <w:basedOn w:val="1"/>
    <w:qFormat/>
    <w:uiPriority w:val="0"/>
    <w:pPr>
      <w:widowControl w:val="0"/>
    </w:pPr>
    <w:rPr>
      <w:rFonts w:ascii="Calibri" w:hAnsi="Calibri"/>
      <w:sz w:val="22"/>
      <w:szCs w:val="22"/>
      <w:lang w:eastAsia="en-US"/>
    </w:rPr>
  </w:style>
  <w:style w:type="paragraph" w:customStyle="1" w:styleId="53">
    <w:name w:val="7表格(治)"/>
    <w:qFormat/>
    <w:uiPriority w:val="0"/>
    <w:pPr>
      <w:jc w:val="center"/>
    </w:pPr>
    <w:rPr>
      <w:rFonts w:ascii="Times New Roman" w:hAnsi="Times New Roman" w:eastAsia="Times New Roman" w:cs="Times New Roman"/>
      <w:sz w:val="21"/>
      <w:szCs w:val="22"/>
      <w:lang w:val="en-US" w:eastAsia="zh-CN" w:bidi="ar-SA"/>
    </w:rPr>
  </w:style>
  <w:style w:type="paragraph" w:customStyle="1" w:styleId="54">
    <w:name w:val="样式 7表格(治) + 宋体"/>
    <w:basedOn w:val="53"/>
    <w:qFormat/>
    <w:uiPriority w:val="0"/>
  </w:style>
  <w:style w:type="character" w:customStyle="1" w:styleId="55">
    <w:name w:val="font41"/>
    <w:basedOn w:val="30"/>
    <w:qFormat/>
    <w:uiPriority w:val="0"/>
    <w:rPr>
      <w:rFonts w:ascii="仿宋" w:hAnsi="仿宋" w:eastAsia="仿宋" w:cs="仿宋"/>
      <w:color w:val="000000"/>
      <w:sz w:val="22"/>
      <w:szCs w:val="22"/>
      <w:u w:val="none"/>
    </w:rPr>
  </w:style>
  <w:style w:type="character" w:customStyle="1" w:styleId="56">
    <w:name w:val="font01"/>
    <w:basedOn w:val="30"/>
    <w:qFormat/>
    <w:uiPriority w:val="0"/>
    <w:rPr>
      <w:rFonts w:hint="eastAsia" w:ascii="宋体" w:hAnsi="宋体" w:eastAsia="宋体" w:cs="宋体"/>
      <w:color w:val="000000"/>
      <w:sz w:val="22"/>
      <w:szCs w:val="22"/>
      <w:u w:val="none"/>
    </w:rPr>
  </w:style>
  <w:style w:type="paragraph" w:customStyle="1" w:styleId="57">
    <w:name w:val="表格的字"/>
    <w:basedOn w:val="1"/>
    <w:qFormat/>
    <w:uiPriority w:val="0"/>
    <w:pPr>
      <w:spacing w:line="240" w:lineRule="auto"/>
      <w:jc w:val="center"/>
    </w:pPr>
    <w:rPr>
      <w:sz w:val="21"/>
      <w:szCs w:val="21"/>
    </w:rPr>
  </w:style>
  <w:style w:type="paragraph" w:customStyle="1" w:styleId="58">
    <w:name w:val="正文_43"/>
    <w:qFormat/>
    <w:uiPriority w:val="0"/>
    <w:pPr>
      <w:widowControl w:val="0"/>
      <w:jc w:val="both"/>
    </w:pPr>
    <w:rPr>
      <w:rFonts w:ascii="Calibri" w:hAnsi="Calibri" w:eastAsia="宋体" w:cs="Times New Roman"/>
      <w:kern w:val="2"/>
      <w:sz w:val="21"/>
      <w:lang w:val="en-US" w:eastAsia="zh-CN" w:bidi="ar-SA"/>
    </w:rPr>
  </w:style>
  <w:style w:type="character" w:customStyle="1" w:styleId="59">
    <w:name w:val="font31"/>
    <w:basedOn w:val="30"/>
    <w:qFormat/>
    <w:uiPriority w:val="0"/>
    <w:rPr>
      <w:rFonts w:hint="default" w:ascii="Times New Roman" w:hAnsi="Times New Roman" w:cs="Times New Roman"/>
      <w:color w:val="000000"/>
      <w:sz w:val="21"/>
      <w:szCs w:val="21"/>
      <w:u w:val="none"/>
    </w:rPr>
  </w:style>
  <w:style w:type="paragraph" w:customStyle="1" w:styleId="60">
    <w:name w:val="表格文字"/>
    <w:basedOn w:val="1"/>
    <w:qFormat/>
    <w:uiPriority w:val="0"/>
    <w:pPr>
      <w:adjustRightInd w:val="0"/>
      <w:snapToGrid w:val="0"/>
      <w:spacing w:line="260" w:lineRule="exact"/>
      <w:jc w:val="center"/>
    </w:pPr>
    <w:rPr>
      <w:szCs w:val="20"/>
    </w:rPr>
  </w:style>
  <w:style w:type="character" w:customStyle="1" w:styleId="61">
    <w:name w:val="font71"/>
    <w:basedOn w:val="30"/>
    <w:qFormat/>
    <w:uiPriority w:val="0"/>
    <w:rPr>
      <w:rFonts w:hint="eastAsia" w:ascii="宋体" w:hAnsi="宋体" w:eastAsia="宋体" w:cs="宋体"/>
      <w:color w:val="000000"/>
      <w:sz w:val="21"/>
      <w:szCs w:val="21"/>
      <w:u w:val="none"/>
    </w:rPr>
  </w:style>
  <w:style w:type="character" w:customStyle="1" w:styleId="62">
    <w:name w:val="font81"/>
    <w:basedOn w:val="3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154</Pages>
  <Words>38422</Words>
  <Characters>51608</Characters>
  <Lines>0</Lines>
  <Paragraphs>0</Paragraphs>
  <TotalTime>0</TotalTime>
  <ScaleCrop>false</ScaleCrop>
  <LinksUpToDate>false</LinksUpToDate>
  <CharactersWithSpaces>55903</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游志程</cp:lastModifiedBy>
  <cp:lastPrinted>2018-08-09T03:23:00Z</cp:lastPrinted>
  <dcterms:modified xsi:type="dcterms:W3CDTF">2025-10-31T07:56:39Z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F1099B6232214D45BF12DADDFCA73959_13</vt:lpwstr>
  </property>
</Properties>
</file>